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517" w:type="dxa"/>
        <w:tblInd w:w="-342" w:type="dxa"/>
        <w:tblLayout w:type="fixed"/>
        <w:tblLook w:val="04A0" w:firstRow="1" w:lastRow="0" w:firstColumn="1" w:lastColumn="0" w:noHBand="0" w:noVBand="1"/>
      </w:tblPr>
      <w:tblGrid>
        <w:gridCol w:w="3307"/>
        <w:gridCol w:w="1193"/>
        <w:gridCol w:w="2497"/>
        <w:gridCol w:w="720"/>
        <w:gridCol w:w="4140"/>
        <w:gridCol w:w="3780"/>
        <w:gridCol w:w="2880"/>
      </w:tblGrid>
      <w:tr w:rsidR="00FB74CC" w:rsidRPr="003817CC" w14:paraId="3442D99E" w14:textId="5CF428A5" w:rsidTr="00FB74CC">
        <w:trPr>
          <w:trHeight w:val="4490"/>
        </w:trPr>
        <w:tc>
          <w:tcPr>
            <w:tcW w:w="18517" w:type="dxa"/>
            <w:gridSpan w:val="7"/>
            <w:shd w:val="clear" w:color="auto" w:fill="auto"/>
          </w:tcPr>
          <w:p w14:paraId="7C3F2B91" w14:textId="77777777" w:rsidR="00FB74CC" w:rsidRPr="00D41F52" w:rsidRDefault="00FB74CC" w:rsidP="007F1024">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1E774247" w14:textId="77777777" w:rsidR="00FB74CC" w:rsidRPr="00D41F52" w:rsidRDefault="00FB74CC" w:rsidP="007F1024">
            <w:pPr>
              <w:spacing w:line="259" w:lineRule="auto"/>
              <w:rPr>
                <w:rFonts w:ascii="Verdana" w:hAnsi="Verdana"/>
              </w:rPr>
            </w:pPr>
          </w:p>
          <w:p w14:paraId="60366725" w14:textId="77777777" w:rsidR="00FB74CC" w:rsidRDefault="00FB74CC" w:rsidP="007F1024">
            <w:pPr>
              <w:rPr>
                <w:rFonts w:ascii="Verdana" w:hAnsi="Verdana"/>
              </w:rPr>
            </w:pPr>
            <w:r w:rsidRPr="007A181C">
              <w:rPr>
                <w:rFonts w:ascii="Verdana" w:hAnsi="Verdana"/>
              </w:rPr>
              <w:t>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221FEFFA" w14:textId="77777777" w:rsidR="00FB74CC" w:rsidRDefault="00FB74CC" w:rsidP="007F1024">
            <w:pPr>
              <w:pStyle w:val="NoSpacing"/>
              <w:ind w:firstLine="720"/>
              <w:rPr>
                <w:rFonts w:ascii="Verdana" w:hAnsi="Verdana"/>
              </w:rPr>
            </w:pPr>
          </w:p>
          <w:p w14:paraId="3E461520" w14:textId="77777777" w:rsidR="00FB74CC" w:rsidRPr="007F1024" w:rsidRDefault="00FB74CC" w:rsidP="007F1024">
            <w:pPr>
              <w:pStyle w:val="NoSpacing"/>
              <w:rPr>
                <w:rFonts w:ascii="Verdana" w:hAnsi="Verdana"/>
                <w:b/>
              </w:rPr>
            </w:pPr>
            <w:r w:rsidRPr="007F1024">
              <w:rPr>
                <w:rFonts w:ascii="Verdana" w:hAnsi="Verdana"/>
              </w:rPr>
              <w:t>This section has two core provisions: family support self-assessment and family partnership and communication.   These regulations set requirements for providers’ communications with parents to partner in their child’s care. This section also describes expectations for program self-assessment in the area of family support.</w:t>
            </w:r>
          </w:p>
          <w:p w14:paraId="49178A2A" w14:textId="77777777" w:rsidR="00FB74CC" w:rsidRPr="00D27C5E" w:rsidRDefault="00FB74CC" w:rsidP="00D27C5E">
            <w:pPr>
              <w:ind w:firstLine="720"/>
              <w:rPr>
                <w:rFonts w:ascii="Verdana" w:hAnsi="Verdana"/>
              </w:rPr>
            </w:pPr>
          </w:p>
        </w:tc>
      </w:tr>
      <w:tr w:rsidR="00A07047" w:rsidRPr="003817CC" w14:paraId="5DCEF9F4" w14:textId="201B2220" w:rsidTr="00D902DC">
        <w:tc>
          <w:tcPr>
            <w:tcW w:w="11857" w:type="dxa"/>
            <w:gridSpan w:val="5"/>
            <w:shd w:val="clear" w:color="auto" w:fill="BFBFBF" w:themeFill="background1" w:themeFillShade="BF"/>
          </w:tcPr>
          <w:p w14:paraId="347A95BB" w14:textId="77777777" w:rsidR="00A07047" w:rsidRPr="009F70D3" w:rsidRDefault="00A07047" w:rsidP="006B4920">
            <w:pPr>
              <w:jc w:val="center"/>
              <w:rPr>
                <w:rFonts w:ascii="Verdana" w:hAnsi="Verdana"/>
                <w:b/>
                <w:sz w:val="24"/>
                <w:szCs w:val="24"/>
              </w:rPr>
            </w:pPr>
            <w:r>
              <w:rPr>
                <w:rFonts w:ascii="Verdana" w:hAnsi="Verdana"/>
                <w:b/>
                <w:sz w:val="24"/>
                <w:szCs w:val="24"/>
              </w:rPr>
              <w:t>Family support self-assessment</w:t>
            </w:r>
          </w:p>
        </w:tc>
        <w:tc>
          <w:tcPr>
            <w:tcW w:w="6660" w:type="dxa"/>
            <w:gridSpan w:val="2"/>
            <w:shd w:val="clear" w:color="auto" w:fill="BFBFBF" w:themeFill="background1" w:themeFillShade="BF"/>
          </w:tcPr>
          <w:p w14:paraId="4BF8E457" w14:textId="554351BA" w:rsidR="00A07047" w:rsidRDefault="00A07047" w:rsidP="006B4920">
            <w:pPr>
              <w:jc w:val="center"/>
              <w:rPr>
                <w:rFonts w:ascii="Verdana" w:hAnsi="Verdana"/>
                <w:b/>
                <w:sz w:val="24"/>
                <w:szCs w:val="24"/>
              </w:rPr>
            </w:pPr>
            <w:r>
              <w:rPr>
                <w:rFonts w:ascii="Verdana" w:hAnsi="Verdana"/>
                <w:b/>
                <w:sz w:val="24"/>
                <w:szCs w:val="24"/>
              </w:rPr>
              <w:t>HS/ECEAP/EHS Team Comments</w:t>
            </w:r>
          </w:p>
        </w:tc>
      </w:tr>
      <w:tr w:rsidR="00FB74CC" w:rsidRPr="003817CC" w14:paraId="30370BC5" w14:textId="265CB8B8" w:rsidTr="00A07047">
        <w:tc>
          <w:tcPr>
            <w:tcW w:w="3307" w:type="dxa"/>
            <w:shd w:val="clear" w:color="auto" w:fill="DDD9C3" w:themeFill="background2" w:themeFillShade="E6"/>
          </w:tcPr>
          <w:p w14:paraId="6857E95E"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Family Home WAC</w:t>
            </w:r>
          </w:p>
        </w:tc>
        <w:tc>
          <w:tcPr>
            <w:tcW w:w="3690" w:type="dxa"/>
            <w:gridSpan w:val="2"/>
            <w:shd w:val="clear" w:color="auto" w:fill="DDD9C3" w:themeFill="background2" w:themeFillShade="E6"/>
          </w:tcPr>
          <w:p w14:paraId="0FA0B24A"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Center WAC</w:t>
            </w:r>
          </w:p>
        </w:tc>
        <w:tc>
          <w:tcPr>
            <w:tcW w:w="4860" w:type="dxa"/>
            <w:gridSpan w:val="2"/>
            <w:shd w:val="clear" w:color="auto" w:fill="EAF1DD" w:themeFill="accent3" w:themeFillTint="33"/>
          </w:tcPr>
          <w:p w14:paraId="22E46D05"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Proposed WAC</w:t>
            </w:r>
          </w:p>
        </w:tc>
        <w:tc>
          <w:tcPr>
            <w:tcW w:w="3780" w:type="dxa"/>
            <w:shd w:val="clear" w:color="auto" w:fill="EAF1DD" w:themeFill="accent3" w:themeFillTint="33"/>
          </w:tcPr>
          <w:p w14:paraId="5DB6CE9E" w14:textId="6D8F0317" w:rsidR="00FB74CC" w:rsidRPr="009F70D3" w:rsidRDefault="00FB74CC" w:rsidP="00FB74CC">
            <w:pPr>
              <w:jc w:val="center"/>
              <w:rPr>
                <w:rFonts w:ascii="Verdana" w:hAnsi="Verdana"/>
                <w:b/>
                <w:sz w:val="24"/>
                <w:szCs w:val="24"/>
              </w:rPr>
            </w:pPr>
            <w:r>
              <w:rPr>
                <w:rFonts w:ascii="Verdana" w:hAnsi="Verdana"/>
                <w:b/>
                <w:sz w:val="24"/>
                <w:szCs w:val="24"/>
              </w:rPr>
              <w:t xml:space="preserve">Satisfactory/Minor/Major revisions; Concerns; Suggested </w:t>
            </w:r>
            <w:proofErr w:type="spellStart"/>
            <w:r>
              <w:rPr>
                <w:rFonts w:ascii="Verdana" w:hAnsi="Verdana"/>
                <w:b/>
                <w:sz w:val="24"/>
                <w:szCs w:val="24"/>
              </w:rPr>
              <w:t>AlternateLanguage</w:t>
            </w:r>
            <w:proofErr w:type="spellEnd"/>
          </w:p>
        </w:tc>
        <w:tc>
          <w:tcPr>
            <w:tcW w:w="2880" w:type="dxa"/>
            <w:shd w:val="clear" w:color="auto" w:fill="EAF1DD" w:themeFill="accent3" w:themeFillTint="33"/>
          </w:tcPr>
          <w:p w14:paraId="4E273FE3" w14:textId="22766DFC" w:rsidR="00FB74CC" w:rsidRPr="009F70D3" w:rsidRDefault="00FB74CC" w:rsidP="00FB74CC">
            <w:pPr>
              <w:jc w:val="center"/>
              <w:rPr>
                <w:rFonts w:ascii="Verdana" w:hAnsi="Verdana"/>
                <w:b/>
                <w:sz w:val="24"/>
                <w:szCs w:val="24"/>
              </w:rPr>
            </w:pPr>
            <w:r>
              <w:rPr>
                <w:rFonts w:ascii="Verdana" w:hAnsi="Verdana"/>
                <w:b/>
                <w:sz w:val="24"/>
                <w:szCs w:val="24"/>
              </w:rPr>
              <w:t>Conflicts with ECEAP, Head Start, Schools District Standards and Practices</w:t>
            </w:r>
          </w:p>
        </w:tc>
      </w:tr>
      <w:tr w:rsidR="00FB74CC" w14:paraId="383641C1" w14:textId="52CAC786" w:rsidTr="00A07047">
        <w:tc>
          <w:tcPr>
            <w:tcW w:w="3307" w:type="dxa"/>
          </w:tcPr>
          <w:p w14:paraId="4ACB4BD3" w14:textId="77777777" w:rsidR="00FB74CC" w:rsidRPr="0028692C" w:rsidRDefault="00FB74CC" w:rsidP="00FB74CC">
            <w:pPr>
              <w:rPr>
                <w:rFonts w:ascii="Verdana" w:hAnsi="Verdana"/>
              </w:rPr>
            </w:pPr>
            <w:r w:rsidRPr="0028692C">
              <w:rPr>
                <w:rFonts w:ascii="Verdana" w:hAnsi="Verdana" w:cs="Calibri"/>
              </w:rPr>
              <w:t>No current WAC</w:t>
            </w:r>
          </w:p>
          <w:p w14:paraId="7428AD86" w14:textId="77777777" w:rsidR="00FB74CC" w:rsidRPr="0028692C" w:rsidRDefault="00FB74CC" w:rsidP="00FB74CC">
            <w:pPr>
              <w:rPr>
                <w:rFonts w:ascii="Verdana" w:hAnsi="Verdana"/>
              </w:rPr>
            </w:pPr>
          </w:p>
          <w:p w14:paraId="5795DFA5" w14:textId="77777777" w:rsidR="00FB74CC" w:rsidRPr="0028692C" w:rsidRDefault="00FB74CC" w:rsidP="00FB74CC">
            <w:pPr>
              <w:rPr>
                <w:rFonts w:ascii="Verdana" w:hAnsi="Verdana"/>
              </w:rPr>
            </w:pPr>
          </w:p>
          <w:p w14:paraId="2BB1A16C" w14:textId="77777777" w:rsidR="00FB74CC" w:rsidRPr="0028692C" w:rsidRDefault="00FB74CC" w:rsidP="00FB74CC">
            <w:pPr>
              <w:rPr>
                <w:rFonts w:ascii="Verdana" w:hAnsi="Verdana"/>
              </w:rPr>
            </w:pPr>
          </w:p>
          <w:p w14:paraId="588A75F6" w14:textId="77777777" w:rsidR="00FB74CC" w:rsidRPr="0028692C" w:rsidRDefault="00FB74CC" w:rsidP="00FB74CC">
            <w:pPr>
              <w:rPr>
                <w:rFonts w:ascii="Verdana" w:hAnsi="Verdana"/>
              </w:rPr>
            </w:pPr>
          </w:p>
          <w:p w14:paraId="52DC5461" w14:textId="77777777" w:rsidR="00FB74CC" w:rsidRPr="0028692C" w:rsidRDefault="00FB74CC" w:rsidP="00FB74CC">
            <w:pPr>
              <w:rPr>
                <w:rFonts w:ascii="Verdana" w:hAnsi="Verdana"/>
              </w:rPr>
            </w:pPr>
          </w:p>
          <w:p w14:paraId="699DEA4C" w14:textId="77777777" w:rsidR="00FB74CC" w:rsidRPr="0028692C" w:rsidRDefault="00FB74CC" w:rsidP="00FB74CC">
            <w:pPr>
              <w:rPr>
                <w:rFonts w:ascii="Verdana" w:hAnsi="Verdana"/>
              </w:rPr>
            </w:pPr>
          </w:p>
        </w:tc>
        <w:tc>
          <w:tcPr>
            <w:tcW w:w="3690" w:type="dxa"/>
            <w:gridSpan w:val="2"/>
          </w:tcPr>
          <w:p w14:paraId="6A325660" w14:textId="77777777" w:rsidR="00FB74CC" w:rsidRPr="0028692C" w:rsidRDefault="00FB74CC" w:rsidP="00FB74CC">
            <w:pPr>
              <w:rPr>
                <w:rFonts w:ascii="Verdana" w:hAnsi="Verdana"/>
              </w:rPr>
            </w:pPr>
            <w:r w:rsidRPr="0028692C">
              <w:rPr>
                <w:rFonts w:ascii="Verdana" w:hAnsi="Verdana" w:cs="Calibri"/>
              </w:rPr>
              <w:t>No current WAC</w:t>
            </w:r>
          </w:p>
        </w:tc>
        <w:tc>
          <w:tcPr>
            <w:tcW w:w="4860" w:type="dxa"/>
            <w:gridSpan w:val="2"/>
          </w:tcPr>
          <w:p w14:paraId="282888E1" w14:textId="77777777" w:rsidR="00FB74CC" w:rsidRPr="00996D94" w:rsidRDefault="00FB74CC" w:rsidP="00FB74CC">
            <w:pPr>
              <w:rPr>
                <w:rFonts w:ascii="Verdana" w:hAnsi="Verdana" w:cs="TradeGothic-Light"/>
                <w:b/>
              </w:rPr>
            </w:pPr>
            <w:r w:rsidRPr="00996D94">
              <w:rPr>
                <w:rFonts w:ascii="Verdana" w:hAnsi="Verdana" w:cs="TradeGothic-Light"/>
                <w:b/>
              </w:rPr>
              <w:t>170-300-0080</w:t>
            </w:r>
          </w:p>
          <w:p w14:paraId="3617D7B6" w14:textId="77777777" w:rsidR="00FB74CC" w:rsidRPr="00996D94" w:rsidRDefault="00FB74CC" w:rsidP="00FB74CC">
            <w:pPr>
              <w:rPr>
                <w:rFonts w:ascii="Verdana" w:hAnsi="Verdana" w:cs="TradeGothic-Light"/>
                <w:b/>
              </w:rPr>
            </w:pPr>
            <w:r w:rsidRPr="00996D94">
              <w:rPr>
                <w:rFonts w:ascii="Verdana" w:hAnsi="Verdana"/>
                <w:b/>
              </w:rPr>
              <w:t>Family support self-assessment.</w:t>
            </w:r>
          </w:p>
          <w:p w14:paraId="4BBB2EE4" w14:textId="371F6F0C" w:rsidR="00FB74CC" w:rsidRPr="00D57ED0" w:rsidRDefault="00FB74CC" w:rsidP="00FB74CC">
            <w:pPr>
              <w:numPr>
                <w:ilvl w:val="0"/>
                <w:numId w:val="1"/>
              </w:numPr>
              <w:autoSpaceDE w:val="0"/>
              <w:autoSpaceDN w:val="0"/>
              <w:adjustRightInd w:val="0"/>
              <w:contextualSpacing/>
              <w:rPr>
                <w:rFonts w:ascii="Verdana" w:hAnsi="Verdana"/>
                <w:u w:val="single"/>
              </w:rPr>
            </w:pPr>
            <w:r w:rsidRPr="00D57ED0">
              <w:rPr>
                <w:rFonts w:ascii="Verdana" w:eastAsia="Times New Roman" w:hAnsi="Verdana" w:cs="Arial"/>
              </w:rPr>
              <w:t>A</w:t>
            </w:r>
            <w:r w:rsidRPr="00D57ED0">
              <w:rPr>
                <w:rFonts w:ascii="Verdana" w:hAnsi="Verdana"/>
              </w:rPr>
              <w:t xml:space="preserve">n early learning provider must assess their program within six months of being licensed, or within six months of the date this section becomes effective, to identify ways to support the families of enrolled children. A provider must </w:t>
            </w:r>
            <w:r w:rsidRPr="00D57ED0">
              <w:rPr>
                <w:rFonts w:ascii="Verdana" w:eastAsia="Times New Roman" w:hAnsi="Verdana" w:cs="Arial"/>
              </w:rPr>
              <w:t xml:space="preserve">complete </w:t>
            </w:r>
            <w:r w:rsidRPr="00D57ED0">
              <w:rPr>
                <w:rFonts w:ascii="Verdana" w:eastAsia="Times New Roman" w:hAnsi="Verdana" w:cs="Arial"/>
              </w:rPr>
              <w:lastRenderedPageBreak/>
              <w:t xml:space="preserve">the Strengthening Families Program Self-Assessment, </w:t>
            </w:r>
            <w:r w:rsidRPr="00D57ED0">
              <w:rPr>
                <w:rFonts w:ascii="Verdana" w:hAnsi="Verdana"/>
              </w:rPr>
              <w:t>or an equivalent assessment,</w:t>
            </w:r>
            <w:r w:rsidRPr="00D57ED0">
              <w:rPr>
                <w:rFonts w:ascii="Verdana" w:eastAsia="Times New Roman" w:hAnsi="Verdana" w:cs="Arial"/>
              </w:rPr>
              <w:t xml:space="preserve"> applicable to the early learning program type (center or family home).</w:t>
            </w:r>
            <w:r>
              <w:rPr>
                <w:rFonts w:ascii="Verdana" w:eastAsia="Times New Roman" w:hAnsi="Verdana" w:cs="Arial"/>
                <w:color w:val="FF0000"/>
              </w:rPr>
              <w:t>Weight #1</w:t>
            </w:r>
          </w:p>
          <w:p w14:paraId="6702CF7F" w14:textId="77777777" w:rsidR="00FB74CC" w:rsidRPr="00D57ED0" w:rsidRDefault="00FB74CC" w:rsidP="00FB74CC">
            <w:pPr>
              <w:ind w:left="360"/>
              <w:contextualSpacing/>
              <w:rPr>
                <w:rFonts w:ascii="Verdana" w:eastAsia="Times New Roman" w:hAnsi="Verdana" w:cs="Arial"/>
              </w:rPr>
            </w:pPr>
          </w:p>
          <w:p w14:paraId="71DF1FD6" w14:textId="4BF3FDC5" w:rsidR="00FB74CC" w:rsidRPr="00D57ED0" w:rsidRDefault="00FB74CC" w:rsidP="00FB74CC">
            <w:pPr>
              <w:numPr>
                <w:ilvl w:val="0"/>
                <w:numId w:val="1"/>
              </w:numPr>
              <w:contextualSpacing/>
              <w:rPr>
                <w:rFonts w:ascii="Verdana" w:eastAsia="Times New Roman" w:hAnsi="Verdana" w:cs="Arial"/>
              </w:rPr>
            </w:pPr>
            <w:r w:rsidRPr="00D57ED0">
              <w:rPr>
                <w:rFonts w:ascii="Verdana" w:eastAsia="Times New Roman" w:hAnsi="Verdana" w:cs="Arial"/>
              </w:rPr>
              <w:t xml:space="preserve">An early learning </w:t>
            </w:r>
            <w:r w:rsidRPr="00D57ED0">
              <w:rPr>
                <w:rFonts w:ascii="Verdana" w:hAnsi="Verdana"/>
              </w:rPr>
              <w:t xml:space="preserve">provider </w:t>
            </w:r>
            <w:r w:rsidRPr="00D57ED0">
              <w:rPr>
                <w:rFonts w:ascii="Verdana" w:eastAsia="Times New Roman" w:hAnsi="Verdana" w:cs="Arial"/>
              </w:rPr>
              <w:t>must keep certificates of completion from the programs listed above in their facility records, and the certificates must be reviewable by the department.</w:t>
            </w:r>
            <w:r>
              <w:rPr>
                <w:rFonts w:ascii="Verdana" w:eastAsia="Times New Roman" w:hAnsi="Verdana" w:cs="Arial"/>
              </w:rPr>
              <w:t xml:space="preserve"> </w:t>
            </w:r>
            <w:r>
              <w:rPr>
                <w:rFonts w:ascii="Verdana" w:eastAsia="Times New Roman" w:hAnsi="Verdana" w:cs="Arial"/>
                <w:color w:val="FF0000"/>
              </w:rPr>
              <w:t>Weight #1</w:t>
            </w:r>
          </w:p>
          <w:p w14:paraId="17D559BE" w14:textId="77777777" w:rsidR="00FB74CC" w:rsidRPr="00F6675B" w:rsidRDefault="00FB74CC" w:rsidP="00FB74CC">
            <w:pPr>
              <w:rPr>
                <w:rFonts w:ascii="Verdana" w:hAnsi="Verdana"/>
                <w:b/>
              </w:rPr>
            </w:pPr>
          </w:p>
          <w:p w14:paraId="6EE09162" w14:textId="77777777" w:rsidR="00FB74CC" w:rsidRPr="0028692C" w:rsidRDefault="00FB74CC" w:rsidP="00FB74CC">
            <w:pPr>
              <w:pStyle w:val="ListParagraph"/>
              <w:ind w:left="360"/>
              <w:rPr>
                <w:rFonts w:ascii="Verdana" w:hAnsi="Verdana"/>
              </w:rPr>
            </w:pPr>
            <w:r w:rsidRPr="007C2F00">
              <w:rPr>
                <w:rStyle w:val="Hyperlink"/>
                <w:rFonts w:ascii="Verdana" w:eastAsia="Times New Roman" w:hAnsi="Verdana" w:cs="Arial"/>
                <w:color w:val="auto"/>
                <w:highlight w:val="green"/>
                <w:u w:val="none"/>
              </w:rPr>
              <w:t xml:space="preserve"> </w:t>
            </w:r>
          </w:p>
        </w:tc>
        <w:tc>
          <w:tcPr>
            <w:tcW w:w="3780" w:type="dxa"/>
          </w:tcPr>
          <w:p w14:paraId="22DFBDDB" w14:textId="77777777" w:rsidR="00FB74CC" w:rsidRPr="00996D94" w:rsidRDefault="00FB74CC" w:rsidP="00FB74CC">
            <w:pPr>
              <w:rPr>
                <w:rFonts w:ascii="Verdana" w:hAnsi="Verdana" w:cs="TradeGothic-Light"/>
                <w:b/>
              </w:rPr>
            </w:pPr>
          </w:p>
        </w:tc>
        <w:tc>
          <w:tcPr>
            <w:tcW w:w="2880" w:type="dxa"/>
          </w:tcPr>
          <w:p w14:paraId="48553446" w14:textId="77777777" w:rsidR="00FB74CC" w:rsidRPr="00996D94" w:rsidRDefault="00FB74CC" w:rsidP="00FB74CC">
            <w:pPr>
              <w:rPr>
                <w:rFonts w:ascii="Verdana" w:hAnsi="Verdana" w:cs="TradeGothic-Light"/>
                <w:b/>
              </w:rPr>
            </w:pPr>
          </w:p>
        </w:tc>
      </w:tr>
      <w:tr w:rsidR="00A07047" w:rsidRPr="003817CC" w14:paraId="4A1E7DE1" w14:textId="07C33E0B" w:rsidTr="00491A71">
        <w:tc>
          <w:tcPr>
            <w:tcW w:w="18517" w:type="dxa"/>
            <w:gridSpan w:val="7"/>
            <w:shd w:val="clear" w:color="auto" w:fill="auto"/>
          </w:tcPr>
          <w:p w14:paraId="0EB538E5" w14:textId="77777777" w:rsidR="00A07047" w:rsidRDefault="00A07047" w:rsidP="00FB74CC">
            <w:pPr>
              <w:rPr>
                <w:rFonts w:ascii="Verdana" w:hAnsi="Verdana"/>
                <w:b/>
                <w:sz w:val="24"/>
                <w:szCs w:val="24"/>
              </w:rPr>
            </w:pPr>
            <w:r w:rsidRPr="009F70D3">
              <w:rPr>
                <w:rFonts w:ascii="Verdana" w:hAnsi="Verdana"/>
                <w:b/>
                <w:sz w:val="24"/>
                <w:szCs w:val="24"/>
              </w:rPr>
              <w:t>Justification:</w:t>
            </w:r>
          </w:p>
          <w:p w14:paraId="5954504E" w14:textId="77777777" w:rsidR="00A07047" w:rsidRPr="00027F64" w:rsidRDefault="00A07047" w:rsidP="00FB74CC">
            <w:pPr>
              <w:pStyle w:val="CommentText"/>
              <w:rPr>
                <w:rFonts w:ascii="Verdana" w:hAnsi="Verdana"/>
                <w:sz w:val="22"/>
                <w:szCs w:val="22"/>
              </w:rPr>
            </w:pPr>
            <w:r w:rsidRPr="00027F64">
              <w:rPr>
                <w:rFonts w:ascii="Verdana" w:hAnsi="Verdana"/>
                <w:sz w:val="22"/>
                <w:szCs w:val="22"/>
              </w:rPr>
              <w:t>This proposed regulation addresses a family support self-assessment. Partnering with and understanding families are important to the work of early learning providers, and central to the priorities of the Department of Early Learning.  The Child Care and Development Block Grant regulations require that Washington share information about research and best practices concerning children’s development [and] meaningful parent and family engagement. See Section 98.33(b</w:t>
            </w:r>
            <w:proofErr w:type="gramStart"/>
            <w:r w:rsidRPr="00027F64">
              <w:rPr>
                <w:rFonts w:ascii="Verdana" w:hAnsi="Verdana"/>
                <w:sz w:val="22"/>
                <w:szCs w:val="22"/>
              </w:rPr>
              <w:t>)(</w:t>
            </w:r>
            <w:proofErr w:type="gramEnd"/>
            <w:r w:rsidRPr="00027F64">
              <w:rPr>
                <w:rFonts w:ascii="Verdana" w:hAnsi="Verdana"/>
                <w:sz w:val="22"/>
                <w:szCs w:val="22"/>
              </w:rPr>
              <w:t>1)(iv).  These proposed regulations require early learning providers to identify how they will support families of enrolled children.  Further, in the instructions for the required federal child care plan (found in the state’s federal Child Care or CCDF Plan, at Section 2</w:t>
            </w:r>
            <w:r w:rsidRPr="007F1024">
              <w:rPr>
                <w:rFonts w:ascii="Verdana" w:hAnsi="Verdana"/>
                <w:sz w:val="22"/>
                <w:szCs w:val="22"/>
              </w:rPr>
              <w:t>, P</w:t>
            </w:r>
            <w:r w:rsidRPr="00027F64">
              <w:rPr>
                <w:rFonts w:ascii="Verdana" w:hAnsi="Verdana"/>
                <w:sz w:val="22"/>
                <w:szCs w:val="22"/>
              </w:rPr>
              <w:t xml:space="preserve">romote Family Engagement through Outreach and Consumer Education, there is clarifying information about the importance of family engagement, which includes the following information: “Parents are their children's most important teacher and advocate. State and Territory child care systems interact with parents in multiple ways, therefore presenting many opportunities to engage and inform families. Child care providers can serve as convenient and trusted sources of information for parents and family members on child development and community supports and services. State/Territory and local child care assistance systems should be designed to promote seamless linkages to useful information and other child- and family-services, such as during subsidy intake and redetermination processes and when parents utilize child care resource and referral or QRIS agencies. Outreach and consumer education is an ongoing process and is expected to cover the entire age span covered by CCDF from birth through age 12. The CCDBG Act of 2014 includes key purposes that address the role of parents as child care consumers who need information to make informed choices regarding the services that best suit their needs. A new purpose of CCDBG is to "promote involvement by parents and family members in the development of their children in child care settings." States and Territories have the opportunity to consider how information can be provided to parents through the child care assistance system, partner agencies, and child care sites that will support their role as their children's teacher and advocate.”  Washington has elected to include a focus on family engagement as part of the licensing baseline, recognizing the importance of working thoughtfully with the families.  </w:t>
            </w:r>
          </w:p>
          <w:p w14:paraId="12999323" w14:textId="77777777" w:rsidR="00A07047" w:rsidRPr="00027F64" w:rsidRDefault="00A07047" w:rsidP="00FB74CC">
            <w:pPr>
              <w:pStyle w:val="CommentText"/>
              <w:rPr>
                <w:rFonts w:ascii="Verdana" w:hAnsi="Verdana"/>
                <w:sz w:val="22"/>
                <w:szCs w:val="22"/>
              </w:rPr>
            </w:pPr>
          </w:p>
          <w:p w14:paraId="41F9F17C" w14:textId="77777777" w:rsidR="00A07047" w:rsidRDefault="00A07047" w:rsidP="00FB74CC">
            <w:pPr>
              <w:pStyle w:val="CommentText"/>
              <w:rPr>
                <w:rFonts w:ascii="Verdana" w:hAnsi="Verdana"/>
                <w:b/>
                <w:sz w:val="24"/>
                <w:szCs w:val="24"/>
              </w:rPr>
            </w:pPr>
            <w:r w:rsidRPr="00027F64">
              <w:rPr>
                <w:rFonts w:ascii="Verdana" w:hAnsi="Verdana"/>
                <w:sz w:val="22"/>
                <w:szCs w:val="22"/>
              </w:rPr>
              <w:lastRenderedPageBreak/>
              <w:t>This is further reinforced by the Washington Early Learning Guidelines, Washington State Early Learning Development Guidelines Birth through 3rd Grade</w:t>
            </w:r>
            <w:r>
              <w:rPr>
                <w:rFonts w:ascii="Verdana" w:hAnsi="Verdana"/>
                <w:sz w:val="22"/>
                <w:szCs w:val="22"/>
              </w:rPr>
              <w:t xml:space="preserve"> </w:t>
            </w:r>
            <w:r w:rsidRPr="00027F64">
              <w:rPr>
                <w:rFonts w:ascii="Verdana" w:hAnsi="Verdana"/>
                <w:sz w:val="22"/>
                <w:szCs w:val="22"/>
              </w:rPr>
              <w:t xml:space="preserve">(2012) which provides “Learning starts with families and communities. Families are their child’s first, most important and life-long teachers. They are also responsible for their children 24 hours a day, seven days a week, no matter what, until the children grow up. Parents and families care about their children and look for ways to support their healthy growth. This can be hard work! Parents embed their children in a web of relatives, friends and social networks. This community offers safety, opportunities, learning and support. Family and community traditions, languages and activities are the foundation for children’s learning and development. Children build their identities from the people, communities and places in their lives. Over time the web of support expands to include caregivers, child care professionals, teachers, health care providers, librarians and others who serve children and families.” </w:t>
            </w:r>
          </w:p>
          <w:p w14:paraId="1FC7AA7A" w14:textId="77777777" w:rsidR="00A07047" w:rsidRPr="00A247EF" w:rsidRDefault="00A07047" w:rsidP="00FB74CC">
            <w:pPr>
              <w:ind w:firstLine="720"/>
              <w:rPr>
                <w:rFonts w:ascii="Verdana" w:hAnsi="Verdana"/>
                <w:sz w:val="24"/>
                <w:szCs w:val="24"/>
              </w:rPr>
            </w:pPr>
          </w:p>
        </w:tc>
      </w:tr>
      <w:tr w:rsidR="00FB74CC" w:rsidRPr="003817CC" w14:paraId="59FE0642" w14:textId="12885502" w:rsidTr="00A07047">
        <w:tc>
          <w:tcPr>
            <w:tcW w:w="11857" w:type="dxa"/>
            <w:gridSpan w:val="5"/>
            <w:shd w:val="clear" w:color="auto" w:fill="BFBFBF" w:themeFill="background1" w:themeFillShade="BF"/>
          </w:tcPr>
          <w:p w14:paraId="0ECFEE84" w14:textId="77777777" w:rsidR="00FB74CC" w:rsidRPr="009F70D3" w:rsidRDefault="00FB74CC" w:rsidP="00FB74CC">
            <w:pPr>
              <w:jc w:val="center"/>
              <w:rPr>
                <w:rFonts w:ascii="Verdana" w:hAnsi="Verdana"/>
                <w:b/>
                <w:sz w:val="24"/>
                <w:szCs w:val="24"/>
              </w:rPr>
            </w:pPr>
            <w:r>
              <w:rPr>
                <w:rFonts w:ascii="Verdana" w:hAnsi="Verdana"/>
                <w:b/>
                <w:sz w:val="24"/>
                <w:szCs w:val="24"/>
              </w:rPr>
              <w:lastRenderedPageBreak/>
              <w:t>Family partnerships and communication</w:t>
            </w:r>
          </w:p>
        </w:tc>
        <w:tc>
          <w:tcPr>
            <w:tcW w:w="3780" w:type="dxa"/>
            <w:shd w:val="clear" w:color="auto" w:fill="BFBFBF" w:themeFill="background1" w:themeFillShade="BF"/>
          </w:tcPr>
          <w:p w14:paraId="0C0D977E" w14:textId="77777777" w:rsidR="00FB74CC" w:rsidRDefault="00FB74CC" w:rsidP="00FB74CC">
            <w:pPr>
              <w:jc w:val="center"/>
              <w:rPr>
                <w:rFonts w:ascii="Verdana" w:hAnsi="Verdana"/>
                <w:b/>
                <w:sz w:val="24"/>
                <w:szCs w:val="24"/>
              </w:rPr>
            </w:pPr>
          </w:p>
        </w:tc>
        <w:tc>
          <w:tcPr>
            <w:tcW w:w="2880" w:type="dxa"/>
            <w:shd w:val="clear" w:color="auto" w:fill="BFBFBF" w:themeFill="background1" w:themeFillShade="BF"/>
          </w:tcPr>
          <w:p w14:paraId="1331E374" w14:textId="35106DAF" w:rsidR="00FB74CC" w:rsidRDefault="00FB74CC" w:rsidP="00FB74CC">
            <w:pPr>
              <w:tabs>
                <w:tab w:val="left" w:pos="720"/>
              </w:tabs>
              <w:rPr>
                <w:rFonts w:ascii="Verdana" w:hAnsi="Verdana"/>
                <w:b/>
                <w:sz w:val="24"/>
                <w:szCs w:val="24"/>
              </w:rPr>
            </w:pPr>
            <w:r>
              <w:rPr>
                <w:rFonts w:ascii="Verdana" w:hAnsi="Verdana"/>
                <w:b/>
                <w:sz w:val="24"/>
                <w:szCs w:val="24"/>
              </w:rPr>
              <w:tab/>
            </w:r>
          </w:p>
        </w:tc>
      </w:tr>
      <w:tr w:rsidR="00FB74CC" w:rsidRPr="003817CC" w14:paraId="2C339796" w14:textId="7BEF95AE" w:rsidTr="00A07047">
        <w:tc>
          <w:tcPr>
            <w:tcW w:w="4500" w:type="dxa"/>
            <w:gridSpan w:val="2"/>
            <w:shd w:val="clear" w:color="auto" w:fill="DDD9C3" w:themeFill="background2" w:themeFillShade="E6"/>
          </w:tcPr>
          <w:p w14:paraId="0142F6AF"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Family Home WAC</w:t>
            </w:r>
          </w:p>
        </w:tc>
        <w:tc>
          <w:tcPr>
            <w:tcW w:w="3217" w:type="dxa"/>
            <w:gridSpan w:val="2"/>
            <w:shd w:val="clear" w:color="auto" w:fill="DDD9C3" w:themeFill="background2" w:themeFillShade="E6"/>
          </w:tcPr>
          <w:p w14:paraId="00FE4FD9"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Center WAC</w:t>
            </w:r>
          </w:p>
        </w:tc>
        <w:tc>
          <w:tcPr>
            <w:tcW w:w="4140" w:type="dxa"/>
            <w:shd w:val="clear" w:color="auto" w:fill="EAF1DD" w:themeFill="accent3" w:themeFillTint="33"/>
          </w:tcPr>
          <w:p w14:paraId="3749FB1F" w14:textId="77777777" w:rsidR="00FB74CC" w:rsidRPr="009F70D3" w:rsidRDefault="00FB74CC" w:rsidP="00FB74CC">
            <w:pPr>
              <w:jc w:val="center"/>
              <w:rPr>
                <w:rFonts w:ascii="Verdana" w:hAnsi="Verdana"/>
                <w:b/>
                <w:sz w:val="24"/>
                <w:szCs w:val="24"/>
              </w:rPr>
            </w:pPr>
            <w:r w:rsidRPr="009F70D3">
              <w:rPr>
                <w:rFonts w:ascii="Verdana" w:hAnsi="Verdana"/>
                <w:b/>
                <w:sz w:val="24"/>
                <w:szCs w:val="24"/>
              </w:rPr>
              <w:t>Proposed WAC</w:t>
            </w:r>
          </w:p>
        </w:tc>
        <w:tc>
          <w:tcPr>
            <w:tcW w:w="3780" w:type="dxa"/>
            <w:shd w:val="clear" w:color="auto" w:fill="EAF1DD" w:themeFill="accent3" w:themeFillTint="33"/>
          </w:tcPr>
          <w:p w14:paraId="50DC3601" w14:textId="2CB1F36C" w:rsidR="00FB74CC" w:rsidRPr="009F70D3" w:rsidRDefault="00FB74CC" w:rsidP="00FB74CC">
            <w:pPr>
              <w:jc w:val="center"/>
              <w:rPr>
                <w:rFonts w:ascii="Verdana" w:hAnsi="Verdana"/>
                <w:b/>
                <w:sz w:val="24"/>
                <w:szCs w:val="24"/>
              </w:rPr>
            </w:pPr>
            <w:r>
              <w:rPr>
                <w:rFonts w:ascii="Verdana" w:hAnsi="Verdana"/>
                <w:b/>
                <w:sz w:val="24"/>
                <w:szCs w:val="24"/>
              </w:rPr>
              <w:t>Satisfactory/Minor/Major revisions; Concerns; Suggested Alternate</w:t>
            </w:r>
            <w:r w:rsidR="00A07047">
              <w:rPr>
                <w:rFonts w:ascii="Verdana" w:hAnsi="Verdana"/>
                <w:b/>
                <w:sz w:val="24"/>
                <w:szCs w:val="24"/>
              </w:rPr>
              <w:t xml:space="preserve"> </w:t>
            </w:r>
            <w:r>
              <w:rPr>
                <w:rFonts w:ascii="Verdana" w:hAnsi="Verdana"/>
                <w:b/>
                <w:sz w:val="24"/>
                <w:szCs w:val="24"/>
              </w:rPr>
              <w:t>Language</w:t>
            </w:r>
          </w:p>
        </w:tc>
        <w:tc>
          <w:tcPr>
            <w:tcW w:w="2880" w:type="dxa"/>
            <w:shd w:val="clear" w:color="auto" w:fill="EAF1DD" w:themeFill="accent3" w:themeFillTint="33"/>
          </w:tcPr>
          <w:p w14:paraId="314E2B6C" w14:textId="1F07B147" w:rsidR="00FB74CC" w:rsidRPr="009F70D3" w:rsidRDefault="00FB74CC" w:rsidP="00FB74CC">
            <w:pPr>
              <w:jc w:val="center"/>
              <w:rPr>
                <w:rFonts w:ascii="Verdana" w:hAnsi="Verdana"/>
                <w:b/>
                <w:sz w:val="24"/>
                <w:szCs w:val="24"/>
              </w:rPr>
            </w:pPr>
            <w:r>
              <w:rPr>
                <w:rFonts w:ascii="Verdana" w:hAnsi="Verdana"/>
                <w:b/>
                <w:sz w:val="24"/>
                <w:szCs w:val="24"/>
              </w:rPr>
              <w:t>Conflicts with ECEAP, Head Start, Schools District Standards and Practices</w:t>
            </w:r>
          </w:p>
        </w:tc>
      </w:tr>
      <w:tr w:rsidR="00FB74CC" w14:paraId="4146A204" w14:textId="1EE4A7C7" w:rsidTr="00A07047">
        <w:tc>
          <w:tcPr>
            <w:tcW w:w="4500" w:type="dxa"/>
            <w:gridSpan w:val="2"/>
          </w:tcPr>
          <w:p w14:paraId="524B0D03" w14:textId="77777777" w:rsidR="00FB74CC" w:rsidRDefault="00FB74CC" w:rsidP="00FB74CC">
            <w:pPr>
              <w:pStyle w:val="Heading3"/>
              <w:spacing w:before="0"/>
              <w:contextualSpacing/>
              <w:outlineLvl w:val="2"/>
              <w:rPr>
                <w:rFonts w:ascii="Verdana" w:hAnsi="Verdana"/>
                <w:b w:val="0"/>
                <w:sz w:val="22"/>
                <w:szCs w:val="22"/>
              </w:rPr>
            </w:pPr>
            <w:r>
              <w:rPr>
                <w:rFonts w:ascii="Verdana" w:hAnsi="Verdana"/>
                <w:b w:val="0"/>
                <w:sz w:val="22"/>
                <w:szCs w:val="22"/>
              </w:rPr>
              <w:t xml:space="preserve">WAC </w:t>
            </w:r>
            <w:r w:rsidRPr="004066D8">
              <w:rPr>
                <w:rFonts w:ascii="Verdana" w:hAnsi="Verdana"/>
                <w:b w:val="0"/>
                <w:sz w:val="22"/>
                <w:szCs w:val="22"/>
              </w:rPr>
              <w:t>170-296A-2375</w:t>
            </w:r>
          </w:p>
          <w:p w14:paraId="243F1CC9" w14:textId="77777777" w:rsidR="00FB74CC" w:rsidRPr="004066D8" w:rsidRDefault="00FB74CC" w:rsidP="00FB74CC">
            <w:pPr>
              <w:pStyle w:val="Heading3"/>
              <w:spacing w:before="0"/>
              <w:contextualSpacing/>
              <w:outlineLvl w:val="2"/>
              <w:rPr>
                <w:rFonts w:ascii="Verdana" w:hAnsi="Verdana"/>
                <w:b w:val="0"/>
                <w:sz w:val="22"/>
                <w:szCs w:val="22"/>
              </w:rPr>
            </w:pPr>
            <w:r w:rsidRPr="004066D8">
              <w:rPr>
                <w:rFonts w:ascii="Verdana" w:hAnsi="Verdana"/>
                <w:b w:val="0"/>
                <w:sz w:val="22"/>
                <w:szCs w:val="22"/>
              </w:rPr>
              <w:t>Parent/guardian policies (handbook).</w:t>
            </w:r>
          </w:p>
          <w:p w14:paraId="244005B1"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The licensee’s written parent/guardian policies (handbook) must include:</w:t>
            </w:r>
          </w:p>
          <w:p w14:paraId="47271365" w14:textId="77777777" w:rsidR="00FB74CC" w:rsidRPr="004B1181" w:rsidRDefault="00FB74CC" w:rsidP="00FB74CC">
            <w:pPr>
              <w:pStyle w:val="ListParagraph"/>
              <w:numPr>
                <w:ilvl w:val="0"/>
                <w:numId w:val="4"/>
              </w:numPr>
              <w:rPr>
                <w:rFonts w:ascii="Verdana" w:hAnsi="Verdana"/>
                <w:highlight w:val="lightGray"/>
              </w:rPr>
            </w:pPr>
            <w:r w:rsidRPr="004B1181">
              <w:rPr>
                <w:rFonts w:ascii="Verdana" w:hAnsi="Verdana"/>
                <w:highlight w:val="lightGray"/>
              </w:rPr>
              <w:t>Hours of operation including closures and vacations;</w:t>
            </w:r>
          </w:p>
          <w:p w14:paraId="411FD718"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(2) Information on how children’s records are kept current, including immunization records;</w:t>
            </w:r>
          </w:p>
          <w:p w14:paraId="7D8B7F8B"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(3) Enrollment and disenrollment process;</w:t>
            </w:r>
          </w:p>
          <w:p w14:paraId="6BA8F0CD"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(4) Parent/guardian access to their child during child care hours;</w:t>
            </w:r>
          </w:p>
          <w:p w14:paraId="4B2AEBAC"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(5) Program philosophy (the licensee’s view of child learning and development);</w:t>
            </w:r>
          </w:p>
          <w:p w14:paraId="48A0016C" w14:textId="77777777" w:rsidR="00FB74CC" w:rsidRPr="00631036" w:rsidRDefault="00FB74CC" w:rsidP="00FB74CC">
            <w:pPr>
              <w:ind w:firstLine="360"/>
              <w:rPr>
                <w:rFonts w:ascii="Verdana" w:hAnsi="Verdana"/>
              </w:rPr>
            </w:pPr>
            <w:r w:rsidRPr="004B1181">
              <w:rPr>
                <w:rFonts w:ascii="Verdana" w:hAnsi="Verdana"/>
                <w:highlight w:val="lightGray"/>
              </w:rPr>
              <w:lastRenderedPageBreak/>
              <w:t xml:space="preserve">(6) Typical daily schedule, including food and rest periods. See WAC </w:t>
            </w:r>
            <w:hyperlink r:id="rId8" w:history="1">
              <w:r w:rsidRPr="004B1181">
                <w:rPr>
                  <w:rStyle w:val="Hyperlink"/>
                  <w:rFonts w:ascii="Verdana" w:hAnsi="Verdana"/>
                  <w:highlight w:val="lightGray"/>
                </w:rPr>
                <w:t>170-296A-6550</w:t>
              </w:r>
            </w:hyperlink>
            <w:r w:rsidRPr="004B1181">
              <w:rPr>
                <w:rFonts w:ascii="Verdana" w:hAnsi="Verdana"/>
                <w:highlight w:val="lightGray"/>
              </w:rPr>
              <w:t>;</w:t>
            </w:r>
          </w:p>
          <w:p w14:paraId="3D636134"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(7) Communication plan with parents/guardians including:</w:t>
            </w:r>
          </w:p>
          <w:p w14:paraId="2894E0FB"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(a) How the parent or guardian may contact the licensee with questions or concerns; and</w:t>
            </w:r>
          </w:p>
          <w:p w14:paraId="7287D5E5"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(b) How the licensee will communicate the child</w:t>
            </w:r>
            <w:r>
              <w:rPr>
                <w:rFonts w:ascii="Verdana" w:hAnsi="Verdana"/>
                <w:highlight w:val="lightGray"/>
              </w:rPr>
              <w:t>’</w:t>
            </w:r>
            <w:r w:rsidRPr="00631036">
              <w:rPr>
                <w:rFonts w:ascii="Verdana" w:hAnsi="Verdana"/>
                <w:highlight w:val="lightGray"/>
              </w:rPr>
              <w:t>s progress with the parent or guardian at least twice a year;</w:t>
            </w:r>
          </w:p>
          <w:p w14:paraId="6025B4CA" w14:textId="77777777" w:rsidR="00FB74CC" w:rsidRPr="00631036" w:rsidRDefault="00FB74CC" w:rsidP="00FB74CC">
            <w:pPr>
              <w:ind w:firstLine="360"/>
              <w:rPr>
                <w:rFonts w:ascii="Verdana" w:hAnsi="Verdana"/>
                <w:highlight w:val="lightGray"/>
              </w:rPr>
            </w:pPr>
            <w:r>
              <w:rPr>
                <w:rFonts w:ascii="Verdana" w:hAnsi="Verdana"/>
                <w:highlight w:val="lightGray"/>
              </w:rPr>
              <w:t>I</w:t>
            </w:r>
            <w:r w:rsidRPr="00631036">
              <w:rPr>
                <w:rFonts w:ascii="Verdana" w:hAnsi="Verdana"/>
                <w:highlight w:val="lightGray"/>
              </w:rPr>
              <w:t xml:space="preserve"> How the licensee will support parents regarding parenting;</w:t>
            </w:r>
          </w:p>
          <w:p w14:paraId="21959A4D" w14:textId="77777777" w:rsidR="00FB74CC" w:rsidRPr="00631036" w:rsidRDefault="00FB74CC" w:rsidP="00FB74CC">
            <w:pPr>
              <w:ind w:firstLine="360"/>
              <w:rPr>
                <w:rFonts w:ascii="Verdana" w:hAnsi="Verdana"/>
              </w:rPr>
            </w:pPr>
            <w:r w:rsidRPr="00631036">
              <w:rPr>
                <w:rFonts w:ascii="Verdana" w:hAnsi="Verdana"/>
                <w:highlight w:val="lightGray"/>
              </w:rPr>
              <w:t>(8) Written plan for any child</w:t>
            </w:r>
            <w:r>
              <w:rPr>
                <w:rFonts w:ascii="Verdana" w:hAnsi="Verdana"/>
                <w:highlight w:val="lightGray"/>
              </w:rPr>
              <w:t>’</w:t>
            </w:r>
            <w:r w:rsidRPr="00631036">
              <w:rPr>
                <w:rFonts w:ascii="Verdana" w:hAnsi="Verdana"/>
                <w:highlight w:val="lightGray"/>
              </w:rPr>
              <w:t xml:space="preserve">s specific needs if applicable. See WAC </w:t>
            </w:r>
            <w:hyperlink r:id="rId9" w:history="1">
              <w:r w:rsidRPr="00631036">
                <w:rPr>
                  <w:rStyle w:val="Hyperlink"/>
                  <w:rFonts w:ascii="Verdana" w:hAnsi="Verdana"/>
                  <w:highlight w:val="lightGray"/>
                </w:rPr>
                <w:t>170-296A-0050</w:t>
              </w:r>
            </w:hyperlink>
            <w:r w:rsidRPr="00631036">
              <w:rPr>
                <w:rFonts w:ascii="Verdana" w:hAnsi="Verdana"/>
                <w:highlight w:val="lightGray"/>
              </w:rPr>
              <w:t>;</w:t>
            </w:r>
          </w:p>
          <w:p w14:paraId="034D4B8D"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(9) Fees and payment plans;</w:t>
            </w:r>
          </w:p>
          <w:p w14:paraId="47580FF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(10) Religious activities and how the parent’s or guardian’s specific religious preferences are addressed;</w:t>
            </w:r>
          </w:p>
          <w:p w14:paraId="1868D22C"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(11) How holidays are recognized in the program;</w:t>
            </w:r>
          </w:p>
          <w:p w14:paraId="085393E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(12) Confidentiality policy including when information may be shared. See WAC </w:t>
            </w:r>
            <w:hyperlink r:id="rId10" w:history="1">
              <w:r w:rsidRPr="004B1181">
                <w:rPr>
                  <w:rStyle w:val="Hyperlink"/>
                  <w:rFonts w:ascii="Verdana" w:hAnsi="Verdana"/>
                  <w:highlight w:val="lightGray"/>
                </w:rPr>
                <w:t>170-296A-2025</w:t>
              </w:r>
            </w:hyperlink>
            <w:r w:rsidRPr="004B1181">
              <w:rPr>
                <w:rFonts w:ascii="Verdana" w:hAnsi="Verdana"/>
                <w:highlight w:val="lightGray"/>
              </w:rPr>
              <w:t>;</w:t>
            </w:r>
          </w:p>
          <w:p w14:paraId="095D4442"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(13) Items that the licensee requires the parent or guardian to provide;</w:t>
            </w:r>
          </w:p>
          <w:p w14:paraId="5A1054D1"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(14) Guidance and discipline policy. See WAC </w:t>
            </w:r>
            <w:hyperlink r:id="rId11" w:history="1">
              <w:r w:rsidRPr="004B1181">
                <w:rPr>
                  <w:rStyle w:val="Hyperlink"/>
                  <w:rFonts w:ascii="Verdana" w:hAnsi="Verdana"/>
                  <w:highlight w:val="lightGray"/>
                </w:rPr>
                <w:t>170-296A-6050</w:t>
              </w:r>
            </w:hyperlink>
            <w:r w:rsidRPr="004B1181">
              <w:rPr>
                <w:rFonts w:ascii="Verdana" w:hAnsi="Verdana"/>
                <w:highlight w:val="lightGray"/>
              </w:rPr>
              <w:t>;</w:t>
            </w:r>
          </w:p>
          <w:p w14:paraId="3F92C2A6"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(15) If applicable, infant/toddler care including infant safe sleep </w:t>
            </w:r>
            <w:r w:rsidRPr="004B1181">
              <w:rPr>
                <w:rFonts w:ascii="Verdana" w:hAnsi="Verdana"/>
                <w:highlight w:val="lightGray"/>
              </w:rPr>
              <w:lastRenderedPageBreak/>
              <w:t>practices, feeding, diapering and toilet training;</w:t>
            </w:r>
          </w:p>
          <w:p w14:paraId="7C422348"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(16) Reporting suspected child abuse or neglect. See WAC </w:t>
            </w:r>
            <w:hyperlink r:id="rId12" w:history="1">
              <w:r w:rsidRPr="004B1181">
                <w:rPr>
                  <w:rStyle w:val="Hyperlink"/>
                  <w:rFonts w:ascii="Verdana" w:hAnsi="Verdana"/>
                  <w:highlight w:val="lightGray"/>
                </w:rPr>
                <w:t>170-296A-6275</w:t>
              </w:r>
            </w:hyperlink>
            <w:r w:rsidRPr="004B1181">
              <w:rPr>
                <w:rFonts w:ascii="Verdana" w:hAnsi="Verdana"/>
                <w:highlight w:val="lightGray"/>
              </w:rPr>
              <w:t>;</w:t>
            </w:r>
          </w:p>
          <w:p w14:paraId="10507E37"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(17) Food service practices. See WAC </w:t>
            </w:r>
            <w:hyperlink r:id="rId13" w:history="1">
              <w:r w:rsidRPr="004B1181">
                <w:rPr>
                  <w:rStyle w:val="Hyperlink"/>
                  <w:rFonts w:ascii="Verdana" w:hAnsi="Verdana"/>
                  <w:highlight w:val="lightGray"/>
                </w:rPr>
                <w:t>170-296A-7125</w:t>
              </w:r>
            </w:hyperlink>
            <w:r w:rsidRPr="004B1181">
              <w:rPr>
                <w:rFonts w:ascii="Verdana" w:hAnsi="Verdana"/>
                <w:highlight w:val="lightGray"/>
              </w:rPr>
              <w:t xml:space="preserve"> through </w:t>
            </w:r>
            <w:hyperlink r:id="rId14" w:history="1">
              <w:r w:rsidRPr="004B1181">
                <w:rPr>
                  <w:rStyle w:val="Hyperlink"/>
                  <w:rFonts w:ascii="Verdana" w:hAnsi="Verdana"/>
                  <w:highlight w:val="lightGray"/>
                </w:rPr>
                <w:t>170-296A-7200</w:t>
              </w:r>
            </w:hyperlink>
            <w:r w:rsidRPr="004B1181">
              <w:rPr>
                <w:rFonts w:ascii="Verdana" w:hAnsi="Verdana"/>
                <w:highlight w:val="lightGray"/>
              </w:rPr>
              <w:t xml:space="preserve">, and </w:t>
            </w:r>
            <w:hyperlink r:id="rId15" w:history="1">
              <w:r w:rsidRPr="004B1181">
                <w:rPr>
                  <w:rStyle w:val="Hyperlink"/>
                  <w:rFonts w:ascii="Verdana" w:hAnsi="Verdana"/>
                  <w:highlight w:val="lightGray"/>
                </w:rPr>
                <w:t>170-296A-7500</w:t>
              </w:r>
            </w:hyperlink>
            <w:r w:rsidRPr="004B1181">
              <w:rPr>
                <w:rFonts w:ascii="Verdana" w:hAnsi="Verdana"/>
                <w:highlight w:val="lightGray"/>
              </w:rPr>
              <w:t xml:space="preserve"> through </w:t>
            </w:r>
            <w:hyperlink r:id="rId16" w:history="1">
              <w:r w:rsidRPr="004B1181">
                <w:rPr>
                  <w:rStyle w:val="Hyperlink"/>
                  <w:rFonts w:ascii="Verdana" w:hAnsi="Verdana"/>
                  <w:highlight w:val="lightGray"/>
                </w:rPr>
                <w:t>170-296A-7650</w:t>
              </w:r>
            </w:hyperlink>
            <w:r w:rsidRPr="004B1181">
              <w:rPr>
                <w:rFonts w:ascii="Verdana" w:hAnsi="Verdana"/>
                <w:highlight w:val="lightGray"/>
              </w:rPr>
              <w:t>;</w:t>
            </w:r>
          </w:p>
          <w:p w14:paraId="7B06BD99"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(18) Off-site field trips requirements. See WAC </w:t>
            </w:r>
            <w:hyperlink r:id="rId17" w:history="1">
              <w:r w:rsidRPr="004B1181">
                <w:rPr>
                  <w:rStyle w:val="Hyperlink"/>
                  <w:rFonts w:ascii="Verdana" w:hAnsi="Verdana"/>
                  <w:highlight w:val="lightGray"/>
                </w:rPr>
                <w:t>170-296A-2450</w:t>
              </w:r>
            </w:hyperlink>
            <w:r w:rsidRPr="004B1181">
              <w:rPr>
                <w:rFonts w:ascii="Verdana" w:hAnsi="Verdana"/>
                <w:highlight w:val="lightGray"/>
              </w:rPr>
              <w:t>;</w:t>
            </w:r>
          </w:p>
          <w:p w14:paraId="4CA48A92"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(19) Transportation requirements. See WAC </w:t>
            </w:r>
            <w:hyperlink r:id="rId18" w:history="1">
              <w:r w:rsidRPr="004B1181">
                <w:rPr>
                  <w:rStyle w:val="Hyperlink"/>
                  <w:rFonts w:ascii="Verdana" w:hAnsi="Verdana"/>
                  <w:highlight w:val="lightGray"/>
                </w:rPr>
                <w:t>170-296A-6475</w:t>
              </w:r>
            </w:hyperlink>
            <w:r w:rsidRPr="004B1181">
              <w:rPr>
                <w:rFonts w:ascii="Verdana" w:hAnsi="Verdana"/>
                <w:highlight w:val="lightGray"/>
              </w:rPr>
              <w:t>;</w:t>
            </w:r>
          </w:p>
          <w:p w14:paraId="5F64E3C5"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(20) Staffing plan. See WAC </w:t>
            </w:r>
            <w:hyperlink r:id="rId19" w:history="1">
              <w:r w:rsidRPr="004B1181">
                <w:rPr>
                  <w:rStyle w:val="Hyperlink"/>
                  <w:rFonts w:ascii="Verdana" w:hAnsi="Verdana"/>
                  <w:highlight w:val="lightGray"/>
                </w:rPr>
                <w:t>170-296A-5600</w:t>
              </w:r>
            </w:hyperlink>
            <w:r w:rsidRPr="004B1181">
              <w:rPr>
                <w:rFonts w:ascii="Verdana" w:hAnsi="Verdana"/>
                <w:highlight w:val="lightGray"/>
              </w:rPr>
              <w:t xml:space="preserve"> and </w:t>
            </w:r>
            <w:hyperlink r:id="rId20" w:history="1">
              <w:r w:rsidRPr="004B1181">
                <w:rPr>
                  <w:rStyle w:val="Hyperlink"/>
                  <w:rFonts w:ascii="Verdana" w:hAnsi="Verdana"/>
                  <w:highlight w:val="lightGray"/>
                </w:rPr>
                <w:t>170-296A-5775</w:t>
              </w:r>
            </w:hyperlink>
            <w:r w:rsidRPr="004B1181">
              <w:rPr>
                <w:rFonts w:ascii="Verdana" w:hAnsi="Verdana"/>
                <w:highlight w:val="lightGray"/>
              </w:rPr>
              <w:t>;</w:t>
            </w:r>
          </w:p>
          <w:p w14:paraId="3C82E983"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(21) Access to licensee’s and staff training and professional development records;</w:t>
            </w:r>
          </w:p>
          <w:p w14:paraId="0545247B"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(22) Pet policies. See WAC </w:t>
            </w:r>
            <w:hyperlink r:id="rId21" w:history="1">
              <w:r w:rsidRPr="004B1181">
                <w:rPr>
                  <w:rStyle w:val="Hyperlink"/>
                  <w:rFonts w:ascii="Verdana" w:hAnsi="Verdana"/>
                  <w:highlight w:val="lightGray"/>
                </w:rPr>
                <w:t>170-296A-4800</w:t>
              </w:r>
            </w:hyperlink>
            <w:r w:rsidRPr="004B1181">
              <w:rPr>
                <w:rFonts w:ascii="Verdana" w:hAnsi="Verdana"/>
                <w:highlight w:val="lightGray"/>
              </w:rPr>
              <w:t>;</w:t>
            </w:r>
          </w:p>
          <w:p w14:paraId="489526A6"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(23) Health care and emergency preparedness policies including:</w:t>
            </w:r>
          </w:p>
          <w:p w14:paraId="1CF88F57"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(a) Emergency preparedness and evacuation plans. See WAC </w:t>
            </w:r>
            <w:hyperlink r:id="rId22" w:history="1">
              <w:r w:rsidRPr="004B1181">
                <w:rPr>
                  <w:rStyle w:val="Hyperlink"/>
                  <w:rFonts w:ascii="Verdana" w:hAnsi="Verdana"/>
                  <w:highlight w:val="lightGray"/>
                </w:rPr>
                <w:t>170-296A-2825</w:t>
              </w:r>
            </w:hyperlink>
            <w:r w:rsidRPr="004B1181">
              <w:rPr>
                <w:rFonts w:ascii="Verdana" w:hAnsi="Verdana"/>
                <w:highlight w:val="lightGray"/>
              </w:rPr>
              <w:t>;</w:t>
            </w:r>
          </w:p>
          <w:p w14:paraId="069FB8B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(b) Injury or medical emergency response and reporting. See WAC </w:t>
            </w:r>
            <w:hyperlink r:id="rId23" w:history="1">
              <w:r w:rsidRPr="004B1181">
                <w:rPr>
                  <w:rStyle w:val="Hyperlink"/>
                  <w:rFonts w:ascii="Verdana" w:hAnsi="Verdana"/>
                  <w:highlight w:val="lightGray"/>
                </w:rPr>
                <w:t>170-296A-3575</w:t>
              </w:r>
            </w:hyperlink>
            <w:r w:rsidRPr="004B1181">
              <w:rPr>
                <w:rFonts w:ascii="Verdana" w:hAnsi="Verdana"/>
                <w:highlight w:val="lightGray"/>
              </w:rPr>
              <w:t xml:space="preserve">, </w:t>
            </w:r>
            <w:hyperlink r:id="rId24" w:history="1">
              <w:r w:rsidRPr="004B1181">
                <w:rPr>
                  <w:rStyle w:val="Hyperlink"/>
                  <w:rFonts w:ascii="Verdana" w:hAnsi="Verdana"/>
                  <w:highlight w:val="lightGray"/>
                </w:rPr>
                <w:t>170-296A-3600</w:t>
              </w:r>
            </w:hyperlink>
            <w:r w:rsidRPr="004B1181">
              <w:rPr>
                <w:rFonts w:ascii="Verdana" w:hAnsi="Verdana"/>
                <w:highlight w:val="lightGray"/>
              </w:rPr>
              <w:t xml:space="preserve">, and </w:t>
            </w:r>
            <w:hyperlink r:id="rId25" w:history="1">
              <w:r w:rsidRPr="004B1181">
                <w:rPr>
                  <w:rStyle w:val="Hyperlink"/>
                  <w:rFonts w:ascii="Verdana" w:hAnsi="Verdana"/>
                  <w:highlight w:val="lightGray"/>
                </w:rPr>
                <w:t>170-296A-2275</w:t>
              </w:r>
            </w:hyperlink>
            <w:r w:rsidRPr="004B1181">
              <w:rPr>
                <w:rFonts w:ascii="Verdana" w:hAnsi="Verdana"/>
                <w:highlight w:val="lightGray"/>
              </w:rPr>
              <w:t>;</w:t>
            </w:r>
          </w:p>
          <w:p w14:paraId="387D786E"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I Medication management including storage and giving </w:t>
            </w:r>
            <w:r w:rsidRPr="004B1181">
              <w:rPr>
                <w:rFonts w:ascii="Verdana" w:hAnsi="Verdana"/>
                <w:highlight w:val="lightGray"/>
              </w:rPr>
              <w:lastRenderedPageBreak/>
              <w:t xml:space="preserve">medications. See WAC </w:t>
            </w:r>
            <w:hyperlink r:id="rId26" w:history="1">
              <w:r w:rsidRPr="004B1181">
                <w:rPr>
                  <w:rStyle w:val="Hyperlink"/>
                  <w:rFonts w:ascii="Verdana" w:hAnsi="Verdana"/>
                  <w:highlight w:val="lightGray"/>
                </w:rPr>
                <w:t>170-296A-3325</w:t>
              </w:r>
            </w:hyperlink>
            <w:r w:rsidRPr="004B1181">
              <w:rPr>
                <w:rFonts w:ascii="Verdana" w:hAnsi="Verdana"/>
                <w:highlight w:val="lightGray"/>
              </w:rPr>
              <w:t>;</w:t>
            </w:r>
          </w:p>
          <w:p w14:paraId="4081DFCA"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(d) Exclusion/removal policy of ill persons. See WAC </w:t>
            </w:r>
            <w:hyperlink r:id="rId27" w:history="1">
              <w:r w:rsidRPr="004B1181">
                <w:rPr>
                  <w:rStyle w:val="Hyperlink"/>
                  <w:rFonts w:ascii="Verdana" w:hAnsi="Verdana"/>
                  <w:highlight w:val="lightGray"/>
                </w:rPr>
                <w:t>170-296A-3210</w:t>
              </w:r>
            </w:hyperlink>
            <w:r w:rsidRPr="004B1181">
              <w:rPr>
                <w:rFonts w:ascii="Verdana" w:hAnsi="Verdana"/>
                <w:highlight w:val="lightGray"/>
              </w:rPr>
              <w:t>;</w:t>
            </w:r>
          </w:p>
          <w:p w14:paraId="51731B5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I Reporting of notifiable conditions to public health;</w:t>
            </w:r>
          </w:p>
          <w:p w14:paraId="47EC4247"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(f) Immunization tracking. See WAC </w:t>
            </w:r>
            <w:hyperlink r:id="rId28" w:history="1">
              <w:r w:rsidRPr="004B1181">
                <w:rPr>
                  <w:rStyle w:val="Hyperlink"/>
                  <w:rFonts w:ascii="Verdana" w:hAnsi="Verdana"/>
                  <w:highlight w:val="lightGray"/>
                </w:rPr>
                <w:t>170-296A-3250</w:t>
              </w:r>
            </w:hyperlink>
            <w:r w:rsidRPr="004B1181">
              <w:rPr>
                <w:rFonts w:ascii="Verdana" w:hAnsi="Verdana"/>
                <w:highlight w:val="lightGray"/>
              </w:rPr>
              <w:t>; and</w:t>
            </w:r>
          </w:p>
          <w:p w14:paraId="4DB772B0"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(g) Infection control methods, including:</w:t>
            </w:r>
          </w:p>
          <w:p w14:paraId="11B79C10"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(i) Handwashing (WAC </w:t>
            </w:r>
            <w:hyperlink r:id="rId29" w:history="1">
              <w:r w:rsidRPr="004B1181">
                <w:rPr>
                  <w:rStyle w:val="Hyperlink"/>
                  <w:rFonts w:ascii="Verdana" w:hAnsi="Verdana"/>
                  <w:highlight w:val="lightGray"/>
                </w:rPr>
                <w:t>170-296A-3625</w:t>
              </w:r>
            </w:hyperlink>
            <w:r w:rsidRPr="004B1181">
              <w:rPr>
                <w:rFonts w:ascii="Verdana" w:hAnsi="Verdana"/>
                <w:highlight w:val="lightGray"/>
              </w:rPr>
              <w:t xml:space="preserve">) and, if applicable, hand sanitizers (WAC </w:t>
            </w:r>
            <w:hyperlink r:id="rId30" w:history="1">
              <w:r w:rsidRPr="004B1181">
                <w:rPr>
                  <w:rStyle w:val="Hyperlink"/>
                  <w:rFonts w:ascii="Verdana" w:hAnsi="Verdana"/>
                  <w:highlight w:val="lightGray"/>
                </w:rPr>
                <w:t>170-296A-3650</w:t>
              </w:r>
            </w:hyperlink>
            <w:r w:rsidRPr="004B1181">
              <w:rPr>
                <w:rFonts w:ascii="Verdana" w:hAnsi="Verdana"/>
                <w:highlight w:val="lightGray"/>
              </w:rPr>
              <w:t>); and</w:t>
            </w:r>
          </w:p>
          <w:p w14:paraId="4BEAC849"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(ii) Cleaning and sanitizing, or cleaning and disinfecting procedures including the methods and products used. See WAC </w:t>
            </w:r>
            <w:hyperlink r:id="rId31" w:history="1">
              <w:r w:rsidRPr="004B1181">
                <w:rPr>
                  <w:rStyle w:val="Hyperlink"/>
                  <w:rFonts w:ascii="Verdana" w:hAnsi="Verdana"/>
                  <w:highlight w:val="lightGray"/>
                </w:rPr>
                <w:t>170-296A-3850</w:t>
              </w:r>
            </w:hyperlink>
            <w:r w:rsidRPr="004B1181">
              <w:rPr>
                <w:rFonts w:ascii="Verdana" w:hAnsi="Verdana"/>
                <w:highlight w:val="lightGray"/>
              </w:rPr>
              <w:t xml:space="preserve"> through </w:t>
            </w:r>
            <w:hyperlink r:id="rId32" w:history="1">
              <w:r w:rsidRPr="004B1181">
                <w:rPr>
                  <w:rStyle w:val="Hyperlink"/>
                  <w:rFonts w:ascii="Verdana" w:hAnsi="Verdana"/>
                  <w:highlight w:val="lightGray"/>
                </w:rPr>
                <w:t>170-296A-3925</w:t>
              </w:r>
            </w:hyperlink>
            <w:r w:rsidRPr="004B1181">
              <w:rPr>
                <w:rFonts w:ascii="Verdana" w:hAnsi="Verdana"/>
                <w:highlight w:val="lightGray"/>
              </w:rPr>
              <w:t xml:space="preserve"> and definitions in WAC </w:t>
            </w:r>
            <w:hyperlink r:id="rId33" w:history="1">
              <w:r w:rsidRPr="004B1181">
                <w:rPr>
                  <w:rStyle w:val="Hyperlink"/>
                  <w:rFonts w:ascii="Verdana" w:hAnsi="Verdana"/>
                  <w:highlight w:val="lightGray"/>
                </w:rPr>
                <w:t>170-296A-0010</w:t>
              </w:r>
            </w:hyperlink>
            <w:r w:rsidRPr="004B1181">
              <w:rPr>
                <w:rFonts w:ascii="Verdana" w:hAnsi="Verdana"/>
                <w:highlight w:val="lightGray"/>
              </w:rPr>
              <w:t>;</w:t>
            </w:r>
          </w:p>
          <w:p w14:paraId="09127463"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(24) Napping/sleeping;</w:t>
            </w:r>
          </w:p>
          <w:p w14:paraId="2407A19B"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(25) No smoking policy consistent with WAC </w:t>
            </w:r>
            <w:hyperlink r:id="rId34" w:history="1">
              <w:r w:rsidRPr="004B1181">
                <w:rPr>
                  <w:rStyle w:val="Hyperlink"/>
                  <w:rFonts w:ascii="Verdana" w:hAnsi="Verdana"/>
                  <w:highlight w:val="lightGray"/>
                </w:rPr>
                <w:t>170-296A-4050</w:t>
              </w:r>
            </w:hyperlink>
            <w:r w:rsidRPr="004B1181">
              <w:rPr>
                <w:rFonts w:ascii="Verdana" w:hAnsi="Verdana"/>
                <w:highlight w:val="lightGray"/>
              </w:rPr>
              <w:t>;</w:t>
            </w:r>
          </w:p>
          <w:p w14:paraId="53CF6E28"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(26) Drug and alcohol policy consistent with WAC </w:t>
            </w:r>
            <w:hyperlink r:id="rId35" w:history="1">
              <w:r w:rsidRPr="004B1181">
                <w:rPr>
                  <w:rStyle w:val="Hyperlink"/>
                  <w:rFonts w:ascii="Verdana" w:hAnsi="Verdana"/>
                  <w:highlight w:val="lightGray"/>
                </w:rPr>
                <w:t>170-296A-4025</w:t>
              </w:r>
            </w:hyperlink>
            <w:r w:rsidRPr="004B1181">
              <w:rPr>
                <w:rFonts w:ascii="Verdana" w:hAnsi="Verdana"/>
                <w:highlight w:val="lightGray"/>
              </w:rPr>
              <w:t>;</w:t>
            </w:r>
          </w:p>
          <w:p w14:paraId="57C1CCDF"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 xml:space="preserve">(27) If applicable, guns and weapons storage. See WAC </w:t>
            </w:r>
            <w:hyperlink r:id="rId36" w:history="1">
              <w:r w:rsidRPr="004B1181">
                <w:rPr>
                  <w:rStyle w:val="Hyperlink"/>
                  <w:rFonts w:ascii="Verdana" w:hAnsi="Verdana"/>
                  <w:highlight w:val="lightGray"/>
                </w:rPr>
                <w:t>170-296A-4725</w:t>
              </w:r>
            </w:hyperlink>
            <w:r w:rsidRPr="004B1181">
              <w:rPr>
                <w:rFonts w:ascii="Verdana" w:hAnsi="Verdana"/>
                <w:highlight w:val="lightGray"/>
              </w:rPr>
              <w:t>; and</w:t>
            </w:r>
          </w:p>
          <w:p w14:paraId="40DD66C5" w14:textId="77777777" w:rsidR="00FB74CC" w:rsidRPr="003817CC" w:rsidRDefault="00FB74CC" w:rsidP="00FB74CC">
            <w:pPr>
              <w:ind w:firstLine="360"/>
              <w:rPr>
                <w:sz w:val="24"/>
                <w:szCs w:val="24"/>
              </w:rPr>
            </w:pPr>
            <w:r w:rsidRPr="004B1181">
              <w:rPr>
                <w:rFonts w:ascii="Verdana" w:hAnsi="Verdana"/>
                <w:highlight w:val="lightGray"/>
              </w:rPr>
              <w:t xml:space="preserve">(28) If applicable, overnight care requirements. See WAC </w:t>
            </w:r>
            <w:hyperlink r:id="rId37" w:history="1">
              <w:r w:rsidRPr="004B1181">
                <w:rPr>
                  <w:rStyle w:val="Hyperlink"/>
                  <w:rFonts w:ascii="Verdana" w:hAnsi="Verdana"/>
                  <w:highlight w:val="lightGray"/>
                </w:rPr>
                <w:t>170-296A-6850</w:t>
              </w:r>
            </w:hyperlink>
            <w:r w:rsidRPr="00331A6D">
              <w:rPr>
                <w:rFonts w:ascii="Verdana" w:hAnsi="Verdana"/>
              </w:rPr>
              <w:t>.</w:t>
            </w:r>
          </w:p>
        </w:tc>
        <w:tc>
          <w:tcPr>
            <w:tcW w:w="3217" w:type="dxa"/>
            <w:gridSpan w:val="2"/>
          </w:tcPr>
          <w:p w14:paraId="08BC72A7" w14:textId="77777777" w:rsidR="00FB74CC" w:rsidRPr="009352C2" w:rsidRDefault="00FB74CC" w:rsidP="00FB74CC">
            <w:pPr>
              <w:pStyle w:val="Heading3"/>
              <w:spacing w:before="0"/>
              <w:contextualSpacing/>
              <w:outlineLvl w:val="2"/>
              <w:rPr>
                <w:rFonts w:ascii="Verdana" w:hAnsi="Verdana"/>
                <w:b w:val="0"/>
                <w:sz w:val="22"/>
                <w:szCs w:val="22"/>
              </w:rPr>
            </w:pPr>
            <w:r>
              <w:rPr>
                <w:rFonts w:ascii="Verdana" w:hAnsi="Verdana"/>
                <w:b w:val="0"/>
                <w:sz w:val="22"/>
                <w:szCs w:val="22"/>
              </w:rPr>
              <w:lastRenderedPageBreak/>
              <w:t xml:space="preserve">WAC </w:t>
            </w:r>
            <w:r w:rsidRPr="009352C2">
              <w:rPr>
                <w:rFonts w:ascii="Verdana" w:hAnsi="Verdana"/>
                <w:b w:val="0"/>
                <w:sz w:val="22"/>
                <w:szCs w:val="22"/>
              </w:rPr>
              <w:t>170-295-2080</w:t>
            </w:r>
          </w:p>
          <w:p w14:paraId="40873767" w14:textId="77777777" w:rsidR="00FB74CC" w:rsidRDefault="00FB74CC" w:rsidP="00FB74CC">
            <w:pPr>
              <w:pStyle w:val="Heading3"/>
              <w:spacing w:before="0" w:after="0"/>
              <w:contextualSpacing/>
              <w:outlineLvl w:val="2"/>
              <w:rPr>
                <w:rFonts w:ascii="Verdana" w:hAnsi="Verdana"/>
                <w:b w:val="0"/>
                <w:sz w:val="22"/>
                <w:szCs w:val="22"/>
              </w:rPr>
            </w:pPr>
            <w:r w:rsidRPr="009352C2">
              <w:rPr>
                <w:rFonts w:ascii="Verdana" w:hAnsi="Verdana"/>
                <w:b w:val="0"/>
                <w:sz w:val="22"/>
                <w:szCs w:val="22"/>
              </w:rPr>
              <w:t>What must I communicate to parents?</w:t>
            </w:r>
          </w:p>
          <w:p w14:paraId="1E652FE1" w14:textId="77777777" w:rsidR="00FB74CC" w:rsidRPr="009352C2" w:rsidRDefault="00FB74CC" w:rsidP="00FB74CC">
            <w:pPr>
              <w:pStyle w:val="Heading3"/>
              <w:spacing w:before="0" w:after="0"/>
              <w:contextualSpacing/>
              <w:outlineLvl w:val="2"/>
              <w:rPr>
                <w:rFonts w:ascii="Verdana" w:hAnsi="Verdana"/>
                <w:b w:val="0"/>
                <w:sz w:val="22"/>
                <w:szCs w:val="22"/>
              </w:rPr>
            </w:pPr>
          </w:p>
          <w:p w14:paraId="2AEA8CD4"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1) You must have written documentation signed by the parent in each child</w:t>
            </w:r>
            <w:r>
              <w:rPr>
                <w:rFonts w:ascii="Verdana" w:hAnsi="Verdana"/>
                <w:highlight w:val="lightGray"/>
              </w:rPr>
              <w:t>’</w:t>
            </w:r>
            <w:r w:rsidRPr="00631036">
              <w:rPr>
                <w:rFonts w:ascii="Verdana" w:hAnsi="Verdana"/>
                <w:highlight w:val="lightGray"/>
              </w:rPr>
              <w:t>s file that you have:</w:t>
            </w:r>
          </w:p>
          <w:p w14:paraId="03295C70"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(a) Explained to the parent the centers policies and procedures;</w:t>
            </w:r>
          </w:p>
          <w:p w14:paraId="64CBE9BC" w14:textId="77777777" w:rsidR="00FB74CC" w:rsidRPr="00631036" w:rsidRDefault="00FB74CC" w:rsidP="00FB74CC">
            <w:pPr>
              <w:ind w:firstLine="360"/>
              <w:rPr>
                <w:rFonts w:ascii="Verdana" w:hAnsi="Verdana"/>
                <w:highlight w:val="lightGray"/>
              </w:rPr>
            </w:pPr>
            <w:r w:rsidRPr="00631036">
              <w:rPr>
                <w:rFonts w:ascii="Verdana" w:hAnsi="Verdana"/>
                <w:highlight w:val="lightGray"/>
              </w:rPr>
              <w:t>(b) Discussed the centers philosophy, program and facilities;</w:t>
            </w:r>
          </w:p>
          <w:p w14:paraId="7DD2C236" w14:textId="77777777" w:rsidR="00FB74CC" w:rsidRPr="00631036" w:rsidRDefault="00FB74CC" w:rsidP="00FB74CC">
            <w:pPr>
              <w:ind w:firstLine="360"/>
              <w:rPr>
                <w:rFonts w:ascii="Verdana" w:hAnsi="Verdana"/>
                <w:highlight w:val="lightGray"/>
              </w:rPr>
            </w:pPr>
            <w:r>
              <w:rPr>
                <w:rFonts w:ascii="Verdana" w:hAnsi="Verdana"/>
                <w:highlight w:val="lightGray"/>
              </w:rPr>
              <w:t>(c)</w:t>
            </w:r>
            <w:r w:rsidRPr="00631036">
              <w:rPr>
                <w:rFonts w:ascii="Verdana" w:hAnsi="Verdana"/>
                <w:highlight w:val="lightGray"/>
              </w:rPr>
              <w:t xml:space="preserve"> Advised the parent of the child</w:t>
            </w:r>
            <w:r>
              <w:rPr>
                <w:rFonts w:ascii="Verdana" w:hAnsi="Verdana"/>
                <w:highlight w:val="lightGray"/>
              </w:rPr>
              <w:t>’</w:t>
            </w:r>
            <w:r w:rsidRPr="00631036">
              <w:rPr>
                <w:rFonts w:ascii="Verdana" w:hAnsi="Verdana"/>
                <w:highlight w:val="lightGray"/>
              </w:rPr>
              <w:t xml:space="preserve">s progress and issues relating to the </w:t>
            </w:r>
            <w:r w:rsidRPr="00631036">
              <w:rPr>
                <w:rFonts w:ascii="Verdana" w:hAnsi="Verdana"/>
                <w:highlight w:val="lightGray"/>
              </w:rPr>
              <w:lastRenderedPageBreak/>
              <w:t>child</w:t>
            </w:r>
            <w:r>
              <w:rPr>
                <w:rFonts w:ascii="Verdana" w:hAnsi="Verdana"/>
                <w:highlight w:val="lightGray"/>
              </w:rPr>
              <w:t>’</w:t>
            </w:r>
            <w:r w:rsidRPr="00631036">
              <w:rPr>
                <w:rFonts w:ascii="Verdana" w:hAnsi="Verdana"/>
                <w:highlight w:val="lightGray"/>
              </w:rPr>
              <w:t>s care and individual practices concerning the child</w:t>
            </w:r>
            <w:r>
              <w:rPr>
                <w:rFonts w:ascii="Verdana" w:hAnsi="Verdana"/>
                <w:highlight w:val="lightGray"/>
              </w:rPr>
              <w:t>’</w:t>
            </w:r>
            <w:r w:rsidRPr="00631036">
              <w:rPr>
                <w:rFonts w:ascii="Verdana" w:hAnsi="Verdana"/>
                <w:highlight w:val="lightGray"/>
              </w:rPr>
              <w:t>s special needs; and</w:t>
            </w:r>
          </w:p>
          <w:p w14:paraId="19719E8F" w14:textId="77777777" w:rsidR="00FB74CC" w:rsidRPr="00631036" w:rsidRDefault="00FB74CC" w:rsidP="00FB74CC">
            <w:pPr>
              <w:ind w:firstLine="360"/>
              <w:rPr>
                <w:rFonts w:ascii="Verdana" w:hAnsi="Verdana"/>
              </w:rPr>
            </w:pPr>
            <w:r w:rsidRPr="00631036">
              <w:rPr>
                <w:rFonts w:ascii="Verdana" w:hAnsi="Verdana"/>
                <w:highlight w:val="lightGray"/>
              </w:rPr>
              <w:t>(d) Encouraged parent participation in center activities.</w:t>
            </w:r>
          </w:p>
          <w:p w14:paraId="36DCA10D"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(2) You must also give the parent the following written policy and procedure information:</w:t>
            </w:r>
          </w:p>
          <w:p w14:paraId="491B460A"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(a) Enrollment and admission requirements;</w:t>
            </w:r>
          </w:p>
          <w:p w14:paraId="365AD110"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(b) The fee and payment plan;</w:t>
            </w:r>
          </w:p>
          <w:p w14:paraId="55132E13" w14:textId="77777777" w:rsidR="00FB74CC" w:rsidRPr="004B1181" w:rsidRDefault="00FB74CC" w:rsidP="00FB74CC">
            <w:pPr>
              <w:ind w:firstLine="360"/>
              <w:rPr>
                <w:rFonts w:ascii="Verdana" w:hAnsi="Verdana"/>
                <w:highlight w:val="lightGray"/>
              </w:rPr>
            </w:pPr>
            <w:r>
              <w:rPr>
                <w:rFonts w:ascii="Verdana" w:hAnsi="Verdana"/>
                <w:highlight w:val="lightGray"/>
              </w:rPr>
              <w:t>(c)</w:t>
            </w:r>
            <w:r w:rsidRPr="004B1181">
              <w:rPr>
                <w:rFonts w:ascii="Verdana" w:hAnsi="Verdana"/>
                <w:highlight w:val="lightGray"/>
              </w:rPr>
              <w:t xml:space="preserve"> A typical activity schedule, including hours of operation;</w:t>
            </w:r>
          </w:p>
          <w:p w14:paraId="5BDB71E2"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(d) Meals and snacks served, including guidelines on food brought from the child’s home;</w:t>
            </w:r>
          </w:p>
          <w:p w14:paraId="0CACC2EC" w14:textId="77777777" w:rsidR="00FB74CC" w:rsidRPr="004B1181" w:rsidRDefault="00FB74CC" w:rsidP="00FB74CC">
            <w:pPr>
              <w:ind w:firstLine="360"/>
              <w:rPr>
                <w:rFonts w:ascii="Verdana" w:hAnsi="Verdana"/>
                <w:highlight w:val="lightGray"/>
              </w:rPr>
            </w:pPr>
            <w:r>
              <w:rPr>
                <w:rFonts w:ascii="Verdana" w:hAnsi="Verdana"/>
                <w:highlight w:val="lightGray"/>
              </w:rPr>
              <w:t>(e)</w:t>
            </w:r>
            <w:r w:rsidRPr="004B1181">
              <w:rPr>
                <w:rFonts w:ascii="Verdana" w:hAnsi="Verdana"/>
                <w:highlight w:val="lightGray"/>
              </w:rPr>
              <w:t xml:space="preserve"> Permission for free access by the child’s parent to all center areas used by the child;</w:t>
            </w:r>
          </w:p>
          <w:p w14:paraId="5ABE86B7"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(f) Signing in and signing out requirements;</w:t>
            </w:r>
          </w:p>
          <w:p w14:paraId="5A42F00C"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(g) Child abuse reporting law requirements;</w:t>
            </w:r>
          </w:p>
          <w:p w14:paraId="54FFE6D5"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(h) Behavior management and discipline;</w:t>
            </w:r>
          </w:p>
          <w:p w14:paraId="7847577C"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lastRenderedPageBreak/>
              <w:t>(i) Nondiscrimination statement;</w:t>
            </w:r>
          </w:p>
          <w:p w14:paraId="63F435A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(j) Religious and cultural activities, if any;</w:t>
            </w:r>
          </w:p>
          <w:p w14:paraId="2ABACFB0"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(k) Transportation and field trip arrangements;</w:t>
            </w:r>
          </w:p>
          <w:p w14:paraId="5BBE571F"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(l) Practices concerning an ill child;</w:t>
            </w:r>
          </w:p>
          <w:p w14:paraId="30212557"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(m) Medication management;</w:t>
            </w:r>
          </w:p>
          <w:p w14:paraId="02A255B9"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(n) Medical emergencies;</w:t>
            </w:r>
          </w:p>
          <w:p w14:paraId="28BF48E4"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(o) Disaster preparedness plans; and</w:t>
            </w:r>
          </w:p>
          <w:p w14:paraId="4D5C0C86"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(p) If licensed for the care of an infant or toddler:</w:t>
            </w:r>
          </w:p>
          <w:p w14:paraId="5F595C46"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(i) Diapering;</w:t>
            </w:r>
          </w:p>
          <w:p w14:paraId="0235E358" w14:textId="77777777" w:rsidR="00FB74CC" w:rsidRPr="004B1181" w:rsidRDefault="00FB74CC" w:rsidP="00FB74CC">
            <w:pPr>
              <w:ind w:firstLine="360"/>
              <w:rPr>
                <w:rFonts w:ascii="Verdana" w:hAnsi="Verdana"/>
                <w:highlight w:val="lightGray"/>
              </w:rPr>
            </w:pPr>
            <w:r w:rsidRPr="004B1181">
              <w:rPr>
                <w:rFonts w:ascii="Verdana" w:hAnsi="Verdana"/>
                <w:highlight w:val="lightGray"/>
              </w:rPr>
              <w:t>(ii) Toilet training; and</w:t>
            </w:r>
          </w:p>
          <w:p w14:paraId="685F4862" w14:textId="77777777" w:rsidR="00FB74CC" w:rsidRPr="00631036" w:rsidRDefault="00FB74CC" w:rsidP="00FB74CC">
            <w:pPr>
              <w:ind w:firstLine="360"/>
              <w:rPr>
                <w:rFonts w:ascii="Verdana" w:hAnsi="Verdana"/>
              </w:rPr>
            </w:pPr>
            <w:r w:rsidRPr="004B1181">
              <w:rPr>
                <w:rFonts w:ascii="Verdana" w:hAnsi="Verdana"/>
                <w:highlight w:val="lightGray"/>
              </w:rPr>
              <w:t>(iii) Feeding.</w:t>
            </w:r>
          </w:p>
          <w:p w14:paraId="2A68D842" w14:textId="77777777" w:rsidR="00FB74CC" w:rsidRPr="003817CC" w:rsidRDefault="00FB74CC" w:rsidP="00FB74CC">
            <w:pPr>
              <w:rPr>
                <w:rFonts w:ascii="Calibri Light" w:hAnsi="Calibri Light"/>
                <w:sz w:val="24"/>
                <w:szCs w:val="24"/>
              </w:rPr>
            </w:pPr>
          </w:p>
        </w:tc>
        <w:tc>
          <w:tcPr>
            <w:tcW w:w="4140" w:type="dxa"/>
          </w:tcPr>
          <w:p w14:paraId="133D21BD" w14:textId="77777777" w:rsidR="00FB74CC" w:rsidRPr="00996D94" w:rsidRDefault="00FB74CC" w:rsidP="00FB74CC">
            <w:pPr>
              <w:rPr>
                <w:rFonts w:ascii="Verdana" w:hAnsi="Verdana"/>
                <w:b/>
              </w:rPr>
            </w:pPr>
            <w:r w:rsidRPr="00996D94">
              <w:rPr>
                <w:rFonts w:ascii="Verdana" w:hAnsi="Verdana"/>
                <w:b/>
              </w:rPr>
              <w:lastRenderedPageBreak/>
              <w:t>170-300-0085</w:t>
            </w:r>
          </w:p>
          <w:p w14:paraId="2B440742" w14:textId="77777777" w:rsidR="00FB74CC" w:rsidRPr="00996D94" w:rsidRDefault="00FB74CC" w:rsidP="00FB74CC">
            <w:pPr>
              <w:rPr>
                <w:rFonts w:ascii="Verdana" w:hAnsi="Verdana"/>
                <w:b/>
              </w:rPr>
            </w:pPr>
            <w:r w:rsidRPr="00996D94">
              <w:rPr>
                <w:rFonts w:ascii="Verdana" w:hAnsi="Verdana"/>
                <w:b/>
              </w:rPr>
              <w:t>Family partnerships and communication.</w:t>
            </w:r>
          </w:p>
          <w:p w14:paraId="6BD74045" w14:textId="6A5B434F" w:rsidR="00FB74CC" w:rsidRPr="00D57ED0" w:rsidRDefault="00FB74CC" w:rsidP="00FB74CC">
            <w:pPr>
              <w:numPr>
                <w:ilvl w:val="0"/>
                <w:numId w:val="3"/>
              </w:numPr>
              <w:ind w:left="360" w:hanging="360"/>
              <w:contextualSpacing/>
              <w:rPr>
                <w:rFonts w:ascii="Verdana" w:hAnsi="Verdana"/>
              </w:rPr>
            </w:pPr>
            <w:r w:rsidRPr="00D57ED0">
              <w:rPr>
                <w:rFonts w:ascii="Verdana" w:hAnsi="Verdana"/>
              </w:rPr>
              <w:t>An early learning provider must communicate with families to identify individual children’s developmental goals.</w:t>
            </w:r>
            <w:r>
              <w:rPr>
                <w:rFonts w:ascii="Verdana" w:hAnsi="Verdana"/>
              </w:rPr>
              <w:t xml:space="preserve"> </w:t>
            </w:r>
            <w:r>
              <w:rPr>
                <w:rFonts w:ascii="Verdana" w:hAnsi="Verdana"/>
                <w:color w:val="FF0000"/>
              </w:rPr>
              <w:t>Weight #1</w:t>
            </w:r>
          </w:p>
          <w:p w14:paraId="3BC99A57" w14:textId="77777777" w:rsidR="00FB74CC" w:rsidRPr="00D57ED0" w:rsidRDefault="00FB74CC" w:rsidP="00FB74CC">
            <w:pPr>
              <w:ind w:left="720"/>
              <w:contextualSpacing/>
              <w:rPr>
                <w:rFonts w:ascii="Verdana" w:hAnsi="Verdana"/>
              </w:rPr>
            </w:pPr>
            <w:r w:rsidRPr="00D57ED0">
              <w:rPr>
                <w:rFonts w:ascii="Verdana" w:hAnsi="Verdana"/>
              </w:rPr>
              <w:t xml:space="preserve"> </w:t>
            </w:r>
          </w:p>
          <w:p w14:paraId="4032DE70" w14:textId="4A32183F" w:rsidR="00FB74CC" w:rsidRPr="00D57ED0" w:rsidRDefault="00FB74CC" w:rsidP="00FB74CC">
            <w:pPr>
              <w:numPr>
                <w:ilvl w:val="0"/>
                <w:numId w:val="3"/>
              </w:numPr>
              <w:ind w:left="360" w:hanging="360"/>
              <w:contextualSpacing/>
              <w:rPr>
                <w:rFonts w:ascii="Verdana" w:hAnsi="Verdana"/>
              </w:rPr>
            </w:pPr>
            <w:r w:rsidRPr="00D57ED0">
              <w:rPr>
                <w:rFonts w:ascii="Verdana" w:hAnsi="Verdana"/>
              </w:rPr>
              <w:t xml:space="preserve">An early learning provider must attempt to collaborate with each child's family, upon enrollment and annually thereafter, to obtain information about a child’s developmental, behavioral, health, linguistic, cultural, </w:t>
            </w:r>
            <w:r w:rsidRPr="00D57ED0">
              <w:rPr>
                <w:rFonts w:ascii="Verdana" w:hAnsi="Verdana"/>
              </w:rPr>
              <w:lastRenderedPageBreak/>
              <w:t>social, and other relevant information.</w:t>
            </w:r>
            <w:r>
              <w:rPr>
                <w:rFonts w:ascii="Verdana" w:hAnsi="Verdana"/>
              </w:rPr>
              <w:t xml:space="preserve"> </w:t>
            </w:r>
            <w:r>
              <w:rPr>
                <w:rFonts w:ascii="Verdana" w:hAnsi="Verdana"/>
                <w:color w:val="FF0000"/>
              </w:rPr>
              <w:t>Weight #4</w:t>
            </w:r>
          </w:p>
          <w:p w14:paraId="7A8C3890" w14:textId="77777777" w:rsidR="00FB74CC" w:rsidRPr="00D57ED0" w:rsidRDefault="00FB74CC" w:rsidP="00FB74CC">
            <w:pPr>
              <w:ind w:left="720"/>
              <w:contextualSpacing/>
              <w:rPr>
                <w:rFonts w:ascii="Verdana" w:hAnsi="Verdana"/>
              </w:rPr>
            </w:pPr>
            <w:r w:rsidRPr="00D57ED0">
              <w:rPr>
                <w:rFonts w:ascii="Verdana" w:hAnsi="Verdana"/>
              </w:rPr>
              <w:t xml:space="preserve"> </w:t>
            </w:r>
          </w:p>
          <w:p w14:paraId="7062F042" w14:textId="7ED90DF6" w:rsidR="00FB74CC" w:rsidRPr="00D57ED0" w:rsidRDefault="00FB74CC" w:rsidP="00FB74CC">
            <w:pPr>
              <w:numPr>
                <w:ilvl w:val="0"/>
                <w:numId w:val="3"/>
              </w:numPr>
              <w:ind w:left="360" w:hanging="360"/>
              <w:contextualSpacing/>
              <w:rPr>
                <w:rFonts w:ascii="Verdana" w:hAnsi="Verdana"/>
              </w:rPr>
            </w:pPr>
            <w:r w:rsidRPr="00D57ED0">
              <w:rPr>
                <w:rFonts w:ascii="Verdana" w:hAnsi="Verdana"/>
              </w:rPr>
              <w:t xml:space="preserve">An early learning provider must determine how the program can best accommodate each child's individual characteristics, strengths, and needs. To do this, the provider must utilize the information in subsection (2) of this section and seek input from family members and staff familiar with a child's behavior, developmental, and learning patterns. </w:t>
            </w:r>
            <w:r>
              <w:rPr>
                <w:rFonts w:ascii="Verdana" w:hAnsi="Verdana"/>
                <w:color w:val="FF0000"/>
              </w:rPr>
              <w:t>Weight #1</w:t>
            </w:r>
          </w:p>
          <w:p w14:paraId="1EA80F3C" w14:textId="77777777" w:rsidR="00FB74CC" w:rsidRPr="00D57ED0" w:rsidRDefault="00FB74CC" w:rsidP="00FB74CC">
            <w:pPr>
              <w:ind w:left="720"/>
              <w:contextualSpacing/>
              <w:rPr>
                <w:rFonts w:ascii="Verdana" w:hAnsi="Verdana"/>
              </w:rPr>
            </w:pPr>
          </w:p>
          <w:p w14:paraId="305D42FF" w14:textId="77777777" w:rsidR="00FB74CC" w:rsidRPr="00D57ED0" w:rsidRDefault="00FB74CC" w:rsidP="00FB74CC">
            <w:pPr>
              <w:numPr>
                <w:ilvl w:val="0"/>
                <w:numId w:val="3"/>
              </w:numPr>
              <w:ind w:left="360" w:hanging="360"/>
              <w:contextualSpacing/>
              <w:rPr>
                <w:rFonts w:ascii="Verdana" w:hAnsi="Verdana"/>
              </w:rPr>
            </w:pPr>
            <w:r w:rsidRPr="00D57ED0">
              <w:rPr>
                <w:rFonts w:ascii="Verdana" w:hAnsi="Verdana"/>
              </w:rPr>
              <w:t>An early learning provider must:</w:t>
            </w:r>
          </w:p>
          <w:p w14:paraId="04DFEE15" w14:textId="77777777" w:rsidR="00FB74CC" w:rsidRPr="00D57ED0" w:rsidRDefault="00FB74CC" w:rsidP="00FB74CC">
            <w:pPr>
              <w:numPr>
                <w:ilvl w:val="0"/>
                <w:numId w:val="2"/>
              </w:numPr>
              <w:ind w:left="1080"/>
              <w:contextualSpacing/>
              <w:rPr>
                <w:rFonts w:ascii="Verdana" w:hAnsi="Verdana"/>
              </w:rPr>
            </w:pPr>
            <w:r w:rsidRPr="00D57ED0">
              <w:rPr>
                <w:rFonts w:ascii="Verdana" w:hAnsi="Verdana"/>
              </w:rPr>
              <w:t>Attempt to discuss with parents or guardians information including, but not limited to:</w:t>
            </w:r>
          </w:p>
          <w:p w14:paraId="1DBD4D02" w14:textId="77777777" w:rsidR="00FB74CC" w:rsidRPr="00D57ED0" w:rsidRDefault="00FB74CC" w:rsidP="00FB74CC">
            <w:pPr>
              <w:numPr>
                <w:ilvl w:val="1"/>
                <w:numId w:val="2"/>
              </w:numPr>
              <w:ind w:left="1861" w:hanging="421"/>
              <w:contextualSpacing/>
              <w:rPr>
                <w:rFonts w:ascii="Verdana" w:hAnsi="Verdana"/>
              </w:rPr>
            </w:pPr>
            <w:r w:rsidRPr="00D57ED0">
              <w:rPr>
                <w:rFonts w:ascii="Verdana" w:hAnsi="Verdana"/>
              </w:rPr>
              <w:t>A child’s strength in areas of development, health issues, special needs, and other concerns;</w:t>
            </w:r>
          </w:p>
          <w:p w14:paraId="0240141B" w14:textId="77777777" w:rsidR="00FB74CC" w:rsidRPr="00D57ED0" w:rsidRDefault="00FB74CC" w:rsidP="00FB74CC">
            <w:pPr>
              <w:numPr>
                <w:ilvl w:val="1"/>
                <w:numId w:val="2"/>
              </w:numPr>
              <w:ind w:left="1861" w:hanging="421"/>
              <w:contextualSpacing/>
              <w:rPr>
                <w:rFonts w:ascii="Verdana" w:hAnsi="Verdana"/>
              </w:rPr>
            </w:pPr>
            <w:r w:rsidRPr="00D57ED0">
              <w:rPr>
                <w:rFonts w:ascii="Verdana" w:hAnsi="Verdana"/>
              </w:rPr>
              <w:t xml:space="preserve">Family routines or events, approaches to parenting, family </w:t>
            </w:r>
            <w:r w:rsidRPr="00D57ED0">
              <w:rPr>
                <w:rFonts w:ascii="Verdana" w:hAnsi="Verdana"/>
              </w:rPr>
              <w:lastRenderedPageBreak/>
              <w:t>beliefs, culture, language, and child rearing practices;</w:t>
            </w:r>
          </w:p>
          <w:p w14:paraId="6F500322" w14:textId="77777777" w:rsidR="00FB74CC" w:rsidRPr="00D57ED0" w:rsidRDefault="00FB74CC" w:rsidP="00FB74CC">
            <w:pPr>
              <w:numPr>
                <w:ilvl w:val="1"/>
                <w:numId w:val="2"/>
              </w:numPr>
              <w:tabs>
                <w:tab w:val="left" w:pos="2223"/>
              </w:tabs>
              <w:ind w:left="1861" w:hanging="421"/>
              <w:contextualSpacing/>
              <w:rPr>
                <w:rFonts w:ascii="Verdana" w:hAnsi="Verdana"/>
              </w:rPr>
            </w:pPr>
            <w:r w:rsidRPr="00D57ED0">
              <w:rPr>
                <w:rFonts w:ascii="Verdana" w:hAnsi="Verdana"/>
              </w:rPr>
              <w:t xml:space="preserve">Internal transitions within the early learning program and transitions to external services or programs, as necessary; </w:t>
            </w:r>
          </w:p>
          <w:p w14:paraId="6B951973" w14:textId="77777777" w:rsidR="00FB74CC" w:rsidRPr="00D57ED0" w:rsidRDefault="00FB74CC" w:rsidP="00FB74CC">
            <w:pPr>
              <w:numPr>
                <w:ilvl w:val="1"/>
                <w:numId w:val="2"/>
              </w:numPr>
              <w:tabs>
                <w:tab w:val="left" w:pos="2223"/>
              </w:tabs>
              <w:ind w:left="1861" w:hanging="421"/>
              <w:contextualSpacing/>
              <w:rPr>
                <w:rFonts w:ascii="Verdana" w:hAnsi="Verdana"/>
              </w:rPr>
            </w:pPr>
            <w:r w:rsidRPr="00D57ED0">
              <w:rPr>
                <w:rFonts w:ascii="Verdana" w:hAnsi="Verdana"/>
              </w:rPr>
              <w:t>Collaboration between the provider and the parent or guardian in behavior management; and</w:t>
            </w:r>
          </w:p>
          <w:p w14:paraId="51FE497C" w14:textId="77777777" w:rsidR="00FB74CC" w:rsidRPr="00D57ED0" w:rsidRDefault="00FB74CC" w:rsidP="00FB74CC">
            <w:pPr>
              <w:numPr>
                <w:ilvl w:val="1"/>
                <w:numId w:val="2"/>
              </w:numPr>
              <w:tabs>
                <w:tab w:val="left" w:pos="2223"/>
              </w:tabs>
              <w:ind w:left="1861" w:hanging="421"/>
              <w:contextualSpacing/>
              <w:rPr>
                <w:rFonts w:ascii="Verdana" w:hAnsi="Verdana"/>
              </w:rPr>
            </w:pPr>
            <w:r w:rsidRPr="00D57ED0">
              <w:rPr>
                <w:rFonts w:ascii="Verdana" w:hAnsi="Verdana"/>
              </w:rPr>
              <w:t xml:space="preserve">A child’s progress, at least two times per year.  </w:t>
            </w:r>
          </w:p>
          <w:p w14:paraId="23560BDD" w14:textId="77777777" w:rsidR="00FB74CC" w:rsidRPr="00D57ED0" w:rsidRDefault="00FB74CC" w:rsidP="00FB74CC">
            <w:pPr>
              <w:numPr>
                <w:ilvl w:val="0"/>
                <w:numId w:val="2"/>
              </w:numPr>
              <w:ind w:left="1080"/>
              <w:contextualSpacing/>
              <w:rPr>
                <w:rFonts w:ascii="Verdana" w:hAnsi="Verdana"/>
              </w:rPr>
            </w:pPr>
            <w:r w:rsidRPr="00D57ED0">
              <w:rPr>
                <w:rFonts w:ascii="Verdana" w:hAnsi="Verdana"/>
              </w:rPr>
              <w:t>Communicate verbally or in writing:</w:t>
            </w:r>
          </w:p>
          <w:p w14:paraId="3711F3C1" w14:textId="77777777" w:rsidR="00FB74CC" w:rsidRPr="00D57ED0" w:rsidRDefault="00FB74CC" w:rsidP="00FB74CC">
            <w:pPr>
              <w:numPr>
                <w:ilvl w:val="1"/>
                <w:numId w:val="2"/>
              </w:numPr>
              <w:ind w:left="1861" w:hanging="421"/>
              <w:contextualSpacing/>
              <w:rPr>
                <w:rFonts w:ascii="Verdana" w:hAnsi="Verdana"/>
              </w:rPr>
            </w:pPr>
            <w:r w:rsidRPr="00D57ED0">
              <w:rPr>
                <w:rFonts w:ascii="Verdana" w:hAnsi="Verdana"/>
              </w:rPr>
              <w:t>Changes in drop-off and pickup arrangements as needed; and</w:t>
            </w:r>
          </w:p>
          <w:p w14:paraId="46C0FE1E" w14:textId="77777777" w:rsidR="00FB74CC" w:rsidRPr="00D57ED0" w:rsidRDefault="00FB74CC" w:rsidP="00FB74CC">
            <w:pPr>
              <w:numPr>
                <w:ilvl w:val="1"/>
                <w:numId w:val="2"/>
              </w:numPr>
              <w:ind w:left="1861" w:hanging="421"/>
              <w:contextualSpacing/>
              <w:rPr>
                <w:rFonts w:ascii="Verdana" w:hAnsi="Verdana"/>
              </w:rPr>
            </w:pPr>
            <w:r w:rsidRPr="00D57ED0">
              <w:rPr>
                <w:rFonts w:ascii="Verdana" w:hAnsi="Verdana"/>
              </w:rPr>
              <w:t xml:space="preserve">Daily activities. </w:t>
            </w:r>
          </w:p>
          <w:p w14:paraId="74E197EB" w14:textId="77777777" w:rsidR="00FB74CC" w:rsidRPr="00D57ED0" w:rsidRDefault="00FB74CC" w:rsidP="00FB74CC">
            <w:pPr>
              <w:numPr>
                <w:ilvl w:val="0"/>
                <w:numId w:val="2"/>
              </w:numPr>
              <w:ind w:left="1080"/>
              <w:contextualSpacing/>
              <w:rPr>
                <w:rFonts w:ascii="Verdana" w:hAnsi="Verdana"/>
              </w:rPr>
            </w:pPr>
            <w:r w:rsidRPr="00D57ED0">
              <w:rPr>
                <w:rFonts w:ascii="Verdana" w:hAnsi="Verdana"/>
              </w:rPr>
              <w:t>Communicate the importance of regular attendance for child;</w:t>
            </w:r>
          </w:p>
          <w:p w14:paraId="0D8DF61B" w14:textId="77777777" w:rsidR="00FB74CC" w:rsidRPr="00D57ED0" w:rsidRDefault="00FB74CC" w:rsidP="00FB74CC">
            <w:pPr>
              <w:numPr>
                <w:ilvl w:val="0"/>
                <w:numId w:val="2"/>
              </w:numPr>
              <w:ind w:left="1080"/>
              <w:contextualSpacing/>
              <w:rPr>
                <w:rFonts w:ascii="Verdana" w:hAnsi="Verdana"/>
              </w:rPr>
            </w:pPr>
            <w:r w:rsidRPr="00D57ED0">
              <w:rPr>
                <w:rFonts w:ascii="Verdana" w:hAnsi="Verdana"/>
              </w:rPr>
              <w:lastRenderedPageBreak/>
              <w:t xml:space="preserve">Give parents or guardians contact information for questions or concerns; </w:t>
            </w:r>
          </w:p>
          <w:p w14:paraId="1A27144C" w14:textId="77777777" w:rsidR="00FB74CC" w:rsidRPr="00D57ED0" w:rsidRDefault="00FB74CC" w:rsidP="00FB74CC">
            <w:pPr>
              <w:numPr>
                <w:ilvl w:val="0"/>
                <w:numId w:val="2"/>
              </w:numPr>
              <w:ind w:left="1080"/>
              <w:contextualSpacing/>
              <w:rPr>
                <w:rFonts w:ascii="Verdana" w:hAnsi="Verdana"/>
              </w:rPr>
            </w:pPr>
            <w:r w:rsidRPr="00D57ED0">
              <w:rPr>
                <w:rFonts w:ascii="Verdana" w:hAnsi="Verdana"/>
              </w:rPr>
              <w:t>Give families opportunities to share their language and culture in the early learning program;</w:t>
            </w:r>
          </w:p>
          <w:p w14:paraId="68425AB5" w14:textId="77777777" w:rsidR="00FB74CC" w:rsidRPr="00D57ED0" w:rsidRDefault="00FB74CC" w:rsidP="00FB74CC">
            <w:pPr>
              <w:numPr>
                <w:ilvl w:val="0"/>
                <w:numId w:val="10"/>
              </w:numPr>
              <w:ind w:left="1080" w:hanging="360"/>
              <w:contextualSpacing/>
              <w:rPr>
                <w:rFonts w:ascii="Verdana" w:hAnsi="Verdana"/>
              </w:rPr>
            </w:pPr>
            <w:r w:rsidRPr="00D57ED0">
              <w:rPr>
                <w:rFonts w:ascii="Verdana" w:hAnsi="Verdana"/>
              </w:rPr>
              <w:t xml:space="preserve">Arrange a confidential time and space for individual conversations regarding children, as needed; and </w:t>
            </w:r>
          </w:p>
          <w:p w14:paraId="549ECD4F" w14:textId="77777777" w:rsidR="00FB74CC" w:rsidRPr="00D57ED0" w:rsidRDefault="00FB74CC" w:rsidP="00FB74CC">
            <w:pPr>
              <w:numPr>
                <w:ilvl w:val="0"/>
                <w:numId w:val="10"/>
              </w:numPr>
              <w:ind w:left="1080" w:hanging="360"/>
              <w:contextualSpacing/>
              <w:rPr>
                <w:rFonts w:ascii="Verdana" w:hAnsi="Verdana"/>
              </w:rPr>
            </w:pPr>
            <w:r w:rsidRPr="00D57ED0">
              <w:rPr>
                <w:rFonts w:ascii="Verdana" w:hAnsi="Verdana"/>
              </w:rPr>
              <w:t>Allow parents or guardians access</w:t>
            </w:r>
            <w:r w:rsidRPr="00D57ED0">
              <w:rPr>
                <w:rFonts w:ascii="Verdana" w:hAnsi="Verdana" w:cs="Calibri"/>
              </w:rPr>
              <w:t xml:space="preserve"> to their child during normal hours of operation, except as excluded by a court order.</w:t>
            </w:r>
          </w:p>
          <w:p w14:paraId="00B2D26C" w14:textId="67F997D7" w:rsidR="00FB74CC" w:rsidRPr="00D57ED0" w:rsidRDefault="00FB74CC" w:rsidP="00FB74CC">
            <w:pPr>
              <w:ind w:left="1080"/>
              <w:contextualSpacing/>
              <w:rPr>
                <w:rFonts w:ascii="Verdana" w:hAnsi="Verdana"/>
                <w:color w:val="FF0000"/>
              </w:rPr>
            </w:pPr>
            <w:r>
              <w:rPr>
                <w:rFonts w:ascii="Verdana" w:hAnsi="Verdana" w:cs="Calibri"/>
                <w:color w:val="FF0000"/>
              </w:rPr>
              <w:t>Weight #5</w:t>
            </w:r>
          </w:p>
          <w:p w14:paraId="6B373DB1" w14:textId="77777777" w:rsidR="00FB74CC" w:rsidRPr="003817CC" w:rsidRDefault="00FB74CC" w:rsidP="00FB74CC">
            <w:pPr>
              <w:contextualSpacing/>
              <w:rPr>
                <w:sz w:val="24"/>
                <w:szCs w:val="24"/>
              </w:rPr>
            </w:pPr>
          </w:p>
        </w:tc>
        <w:tc>
          <w:tcPr>
            <w:tcW w:w="3780" w:type="dxa"/>
          </w:tcPr>
          <w:p w14:paraId="377B0F10" w14:textId="77777777" w:rsidR="00FB74CC" w:rsidRPr="00996D94" w:rsidRDefault="00FB74CC" w:rsidP="00FB74CC">
            <w:pPr>
              <w:rPr>
                <w:rFonts w:ascii="Verdana" w:hAnsi="Verdana"/>
                <w:b/>
              </w:rPr>
            </w:pPr>
          </w:p>
        </w:tc>
        <w:tc>
          <w:tcPr>
            <w:tcW w:w="2880" w:type="dxa"/>
          </w:tcPr>
          <w:p w14:paraId="45053317" w14:textId="77777777" w:rsidR="00FB74CC" w:rsidRPr="00996D94" w:rsidRDefault="00FB74CC" w:rsidP="00FB74CC">
            <w:pPr>
              <w:rPr>
                <w:rFonts w:ascii="Verdana" w:hAnsi="Verdana"/>
                <w:b/>
              </w:rPr>
            </w:pPr>
          </w:p>
        </w:tc>
      </w:tr>
      <w:tr w:rsidR="005644B3" w14:paraId="3A412CE3" w14:textId="7385E33A" w:rsidTr="00E26D29">
        <w:tc>
          <w:tcPr>
            <w:tcW w:w="18517" w:type="dxa"/>
            <w:gridSpan w:val="7"/>
          </w:tcPr>
          <w:p w14:paraId="00038CB1" w14:textId="77777777" w:rsidR="005644B3" w:rsidRPr="009F70D3" w:rsidRDefault="005644B3" w:rsidP="00FB74CC">
            <w:pPr>
              <w:rPr>
                <w:rFonts w:ascii="Verdana" w:hAnsi="Verdana"/>
                <w:b/>
                <w:sz w:val="24"/>
                <w:szCs w:val="24"/>
              </w:rPr>
            </w:pPr>
            <w:r w:rsidRPr="009F70D3">
              <w:rPr>
                <w:rFonts w:ascii="Verdana" w:hAnsi="Verdana"/>
                <w:b/>
                <w:sz w:val="24"/>
                <w:szCs w:val="24"/>
              </w:rPr>
              <w:lastRenderedPageBreak/>
              <w:t>Justification:</w:t>
            </w:r>
          </w:p>
          <w:p w14:paraId="23391C5F" w14:textId="77777777" w:rsidR="005644B3" w:rsidRPr="00027F64" w:rsidRDefault="005644B3" w:rsidP="00FB74CC">
            <w:pPr>
              <w:pStyle w:val="CommentText"/>
              <w:rPr>
                <w:rFonts w:ascii="Verdana" w:hAnsi="Verdana"/>
                <w:sz w:val="22"/>
                <w:szCs w:val="22"/>
              </w:rPr>
            </w:pPr>
            <w:r w:rsidRPr="00027F64">
              <w:rPr>
                <w:rFonts w:ascii="Verdana" w:hAnsi="Verdana"/>
                <w:sz w:val="22"/>
                <w:szCs w:val="22"/>
              </w:rPr>
              <w:t xml:space="preserve">The proposed regulation enhances communication and collaboration with families by 1) obtaining information about a child’s developmental, behavioral, health, linguistic, cultural, social, and other relevant information; 2) accommodating each child's individual characteristics, strengths, and needs using information from </w:t>
            </w:r>
            <w:r w:rsidRPr="00027F64">
              <w:rPr>
                <w:rFonts w:ascii="Verdana" w:hAnsi="Verdana"/>
                <w:sz w:val="22"/>
                <w:szCs w:val="22"/>
              </w:rPr>
              <w:lastRenderedPageBreak/>
              <w:t xml:space="preserve">family members; 3) discussing with families a child’s internal and external transitions; 4) discussing with families the importance of regular attendance; 5) providing families with opportunities to share their culture; and 6) arranging confidential space when discussing children.  </w:t>
            </w:r>
          </w:p>
          <w:p w14:paraId="61023995" w14:textId="77777777" w:rsidR="005644B3" w:rsidRDefault="005644B3" w:rsidP="00FB74CC">
            <w:pPr>
              <w:rPr>
                <w:rFonts w:ascii="Verdana" w:hAnsi="Verdana"/>
                <w:i/>
              </w:rPr>
            </w:pPr>
          </w:p>
          <w:p w14:paraId="2D680553" w14:textId="77777777" w:rsidR="005644B3" w:rsidRPr="00AE125B" w:rsidRDefault="005644B3" w:rsidP="00FB74CC">
            <w:pPr>
              <w:rPr>
                <w:rFonts w:ascii="Verdana" w:hAnsi="Verdana"/>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references the importance of partnering with families to learn more about each child’s development from the viewpoint of the family, and to understand family culture and context. See </w:t>
            </w:r>
            <w:r w:rsidRPr="00AE125B">
              <w:rPr>
                <w:rFonts w:ascii="Verdana" w:hAnsi="Verdana"/>
              </w:rPr>
              <w:t>2.3.2 Regular Communication</w:t>
            </w:r>
          </w:p>
          <w:p w14:paraId="0AA10A70" w14:textId="77777777" w:rsidR="005644B3" w:rsidRDefault="005644B3" w:rsidP="00FB74CC">
            <w:pPr>
              <w:rPr>
                <w:rFonts w:ascii="Verdana" w:hAnsi="Verdana"/>
              </w:rPr>
            </w:pPr>
            <w:r w:rsidRPr="00AE125B">
              <w:rPr>
                <w:rFonts w:ascii="Verdana" w:hAnsi="Verdana"/>
              </w:rPr>
              <w:t>STANDARD 2.3.2.1: Parent/Guardian</w:t>
            </w:r>
            <w:r>
              <w:rPr>
                <w:rFonts w:ascii="Verdana" w:hAnsi="Verdana"/>
              </w:rPr>
              <w:t xml:space="preserve"> Conferences. The regulations now provide for opportunities to learn from families (170.300.0085(2), (3), and (4)) consistent with </w:t>
            </w:r>
            <w:r w:rsidRPr="00F42D01">
              <w:rPr>
                <w:rFonts w:ascii="Verdana" w:hAnsi="Verdana"/>
                <w:i/>
              </w:rPr>
              <w:t>Caring for Our Children, 3</w:t>
            </w:r>
            <w:r w:rsidRPr="00F42D01">
              <w:rPr>
                <w:rFonts w:ascii="Verdana" w:hAnsi="Verdana"/>
                <w:i/>
                <w:vertAlign w:val="superscript"/>
              </w:rPr>
              <w:t>rd</w:t>
            </w:r>
            <w:r w:rsidRPr="00F42D01">
              <w:rPr>
                <w:rFonts w:ascii="Verdana" w:hAnsi="Verdana"/>
                <w:i/>
              </w:rPr>
              <w:t xml:space="preserve"> Edit</w:t>
            </w:r>
            <w:r>
              <w:rPr>
                <w:rFonts w:ascii="Verdana" w:hAnsi="Verdana"/>
              </w:rPr>
              <w:t xml:space="preserve">ion.  As noted by </w:t>
            </w:r>
            <w:r w:rsidRPr="009400D7">
              <w:rPr>
                <w:rFonts w:ascii="Verdana" w:hAnsi="Verdana"/>
                <w:i/>
              </w:rPr>
              <w:t>Caring for Our Children, 3</w:t>
            </w:r>
            <w:r w:rsidRPr="009400D7">
              <w:rPr>
                <w:rFonts w:ascii="Verdana" w:hAnsi="Verdana"/>
                <w:i/>
                <w:vertAlign w:val="superscript"/>
              </w:rPr>
              <w:t>rd</w:t>
            </w:r>
            <w:r w:rsidRPr="009400D7">
              <w:rPr>
                <w:rFonts w:ascii="Verdana" w:hAnsi="Verdana"/>
                <w:i/>
              </w:rPr>
              <w:t xml:space="preserve"> Edition,</w:t>
            </w:r>
            <w:r>
              <w:rPr>
                <w:rFonts w:ascii="Verdana" w:hAnsi="Verdana"/>
              </w:rPr>
              <w:t xml:space="preserve"> “</w:t>
            </w:r>
            <w:r w:rsidRPr="00AE125B">
              <w:rPr>
                <w:rFonts w:ascii="Verdana" w:hAnsi="Verdana"/>
              </w:rPr>
              <w:t>Encouraging parents’/guar</w:t>
            </w:r>
            <w:r>
              <w:rPr>
                <w:rFonts w:ascii="Verdana" w:hAnsi="Verdana"/>
              </w:rPr>
              <w:t xml:space="preserve">dians’ communication is simple, </w:t>
            </w:r>
            <w:r w:rsidRPr="00AE125B">
              <w:rPr>
                <w:rFonts w:ascii="Verdana" w:hAnsi="Verdana"/>
              </w:rPr>
              <w:t>inexpensive, and beneficial.</w:t>
            </w:r>
            <w:r>
              <w:rPr>
                <w:rFonts w:ascii="Verdana" w:hAnsi="Verdana"/>
              </w:rPr>
              <w:t>” See 2.3.2.3 Support Services for Parents/Guardians, Rationale. These proposed regulations address efforts to communicate with parents about transitions, whether inside the early learning program or to a different program (170.300.0085(4</w:t>
            </w:r>
            <w:proofErr w:type="gramStart"/>
            <w:r>
              <w:rPr>
                <w:rFonts w:ascii="Verdana" w:hAnsi="Verdana"/>
              </w:rPr>
              <w:t>)(</w:t>
            </w:r>
            <w:proofErr w:type="gramEnd"/>
            <w:r>
              <w:rPr>
                <w:rFonts w:ascii="Verdana" w:hAnsi="Verdana"/>
              </w:rPr>
              <w:t xml:space="preserve">a)(iii); sharing the importance of regular attendance (170.300.0085(4)(c); and providing confidential space and time for conversations about children, as needed (170.300.0085(4)(e).  </w:t>
            </w:r>
            <w:r w:rsidRPr="00B9598A">
              <w:rPr>
                <w:rFonts w:ascii="Verdana" w:hAnsi="Verdana"/>
                <w:i/>
              </w:rPr>
              <w:t>Caring for Our Children</w:t>
            </w:r>
            <w:r>
              <w:rPr>
                <w:rFonts w:ascii="Verdana" w:hAnsi="Verdana"/>
                <w:i/>
              </w:rPr>
              <w:t>, 3</w:t>
            </w:r>
            <w:r w:rsidRPr="009400D7">
              <w:rPr>
                <w:rFonts w:ascii="Verdana" w:hAnsi="Verdana"/>
                <w:i/>
                <w:vertAlign w:val="superscript"/>
              </w:rPr>
              <w:t>rd</w:t>
            </w:r>
            <w:r>
              <w:rPr>
                <w:rFonts w:ascii="Verdana" w:hAnsi="Verdana"/>
                <w:i/>
              </w:rPr>
              <w:t xml:space="preserve"> Edition</w:t>
            </w:r>
            <w:r>
              <w:rPr>
                <w:rFonts w:ascii="Verdana" w:hAnsi="Verdana"/>
              </w:rPr>
              <w:t xml:space="preserve"> provides a section addressing the importance of transition to new programs, and discussions about this with families as part of 9.2.2 Transitions, </w:t>
            </w:r>
            <w:r w:rsidRPr="00E40488">
              <w:rPr>
                <w:rFonts w:ascii="Verdana" w:hAnsi="Verdana"/>
              </w:rPr>
              <w:t>STANDAR</w:t>
            </w:r>
            <w:r>
              <w:rPr>
                <w:rFonts w:ascii="Verdana" w:hAnsi="Verdana"/>
              </w:rPr>
              <w:t xml:space="preserve">D 9.2.2.1: Planning for Child’s </w:t>
            </w:r>
            <w:r w:rsidRPr="00E40488">
              <w:rPr>
                <w:rFonts w:ascii="Verdana" w:hAnsi="Verdana"/>
              </w:rPr>
              <w:t>Transition to New Services</w:t>
            </w:r>
            <w:r>
              <w:rPr>
                <w:rFonts w:ascii="Verdana" w:hAnsi="Verdana"/>
              </w:rPr>
              <w:t xml:space="preserve">.  Attendance is added as a discussion point with parents because of the advantages regular attendance brings in realizing the child development benefits from the early learning program, and allowing for confidential space for individual conversations about children is respectful of family, child and program privacy.  </w:t>
            </w:r>
          </w:p>
          <w:p w14:paraId="5F1A1086" w14:textId="77777777" w:rsidR="005644B3" w:rsidRDefault="005644B3" w:rsidP="00FB74CC">
            <w:pPr>
              <w:rPr>
                <w:rFonts w:ascii="Verdana" w:hAnsi="Verdana"/>
              </w:rPr>
            </w:pPr>
          </w:p>
          <w:p w14:paraId="05F8DA79" w14:textId="77777777" w:rsidR="005644B3" w:rsidRDefault="005644B3" w:rsidP="00FB74CC">
            <w:pPr>
              <w:rPr>
                <w:rFonts w:ascii="Verdana" w:hAnsi="Verdana"/>
              </w:rPr>
            </w:pPr>
            <w:r>
              <w:rPr>
                <w:rFonts w:ascii="Verdana" w:hAnsi="Verdana"/>
              </w:rPr>
              <w:t>We further note that the federal regulations for CCDF, at Section 98.33(b</w:t>
            </w:r>
            <w:proofErr w:type="gramStart"/>
            <w:r>
              <w:rPr>
                <w:rFonts w:ascii="Verdana" w:hAnsi="Verdana"/>
              </w:rPr>
              <w:t>)(</w:t>
            </w:r>
            <w:proofErr w:type="gramEnd"/>
            <w:r>
              <w:rPr>
                <w:rFonts w:ascii="Verdana" w:hAnsi="Verdana"/>
              </w:rPr>
              <w:t>1)(iv) requires the state’s lead agency to disseminate information about “</w:t>
            </w:r>
            <w:r w:rsidRPr="00B9598A">
              <w:rPr>
                <w:rFonts w:ascii="Verdana" w:hAnsi="Verdana"/>
              </w:rPr>
              <w:t>Research and best practices concerning children’s development, meaningful parent and family engagem</w:t>
            </w:r>
            <w:r>
              <w:rPr>
                <w:rFonts w:ascii="Verdana" w:hAnsi="Verdana"/>
              </w:rPr>
              <w:t>ent.”  The proposed regulation is consistent with the federal intention, which is also found in the purpose of the law, which includes “to promote involvement by parents and family members in the development of their children in care settings.”</w:t>
            </w:r>
            <w:hyperlink r:id="rId38" w:history="1">
              <w:r w:rsidRPr="00FD1B8B">
                <w:rPr>
                  <w:rStyle w:val="Hyperlink"/>
                  <w:rFonts w:ascii="Verdana" w:hAnsi="Verdana"/>
                </w:rPr>
                <w:t>https://www.gpo.gov/fdsys/pkg/PLAW-113publ186/pdf/PLAW-113publ186.pdf</w:t>
              </w:r>
            </w:hyperlink>
            <w:r>
              <w:rPr>
                <w:rFonts w:ascii="Verdana" w:hAnsi="Verdana"/>
              </w:rPr>
              <w:t xml:space="preserve">, </w:t>
            </w:r>
            <w:r w:rsidRPr="00B9598A">
              <w:rPr>
                <w:rFonts w:ascii="Verdana" w:hAnsi="Verdana"/>
              </w:rPr>
              <w:t>SEC. 658A. SHORT TITLE AND PURPOSES</w:t>
            </w:r>
            <w:r>
              <w:rPr>
                <w:rFonts w:ascii="Verdana" w:hAnsi="Verdana"/>
              </w:rPr>
              <w:t>, (b</w:t>
            </w:r>
            <w:proofErr w:type="gramStart"/>
            <w:r>
              <w:rPr>
                <w:rFonts w:ascii="Verdana" w:hAnsi="Verdana"/>
              </w:rPr>
              <w:t>)(</w:t>
            </w:r>
            <w:proofErr w:type="gramEnd"/>
            <w:r>
              <w:rPr>
                <w:rFonts w:ascii="Verdana" w:hAnsi="Verdana"/>
              </w:rPr>
              <w:t>3).  This is also seen in the federal guidance for the state’s CCDF plan.  In the section addressing Family engagement through outreach and consumer education, the federal government states, at page 36 of Washington’s plan, “</w:t>
            </w:r>
            <w:r w:rsidRPr="00ED367F">
              <w:rPr>
                <w:rFonts w:ascii="Verdana" w:hAnsi="Verdana"/>
              </w:rPr>
              <w:t>Child care providers can serve as convenient and trusted sources of information for parents and family members on child development and community supports and services.</w:t>
            </w:r>
            <w:r>
              <w:rPr>
                <w:rFonts w:ascii="Verdana" w:hAnsi="Verdana"/>
              </w:rPr>
              <w:t>”</w:t>
            </w:r>
          </w:p>
          <w:p w14:paraId="36E1F5C0" w14:textId="77777777" w:rsidR="005644B3" w:rsidRDefault="005644B3" w:rsidP="00FB74CC">
            <w:pPr>
              <w:rPr>
                <w:rFonts w:ascii="Verdana" w:hAnsi="Verdana"/>
              </w:rPr>
            </w:pPr>
          </w:p>
          <w:p w14:paraId="159D9D85" w14:textId="77777777" w:rsidR="005644B3" w:rsidRPr="00ED367F" w:rsidRDefault="005644B3" w:rsidP="00FB74CC">
            <w:pPr>
              <w:rPr>
                <w:rFonts w:ascii="Verdana" w:hAnsi="Verdana"/>
              </w:rPr>
            </w:pPr>
            <w:r>
              <w:rPr>
                <w:rFonts w:ascii="Verdana" w:hAnsi="Verdana"/>
              </w:rPr>
              <w:t xml:space="preserve">In addition to the support noted above, Washington’s Early Learning and Development </w:t>
            </w:r>
            <w:r w:rsidRPr="00ED367F">
              <w:rPr>
                <w:rFonts w:ascii="Verdana" w:hAnsi="Verdana"/>
              </w:rPr>
              <w:t>Guidel</w:t>
            </w:r>
            <w:r>
              <w:rPr>
                <w:rFonts w:ascii="Verdana" w:hAnsi="Verdana"/>
              </w:rPr>
              <w:t xml:space="preserve">ines </w:t>
            </w:r>
            <w:r w:rsidRPr="00ED367F">
              <w:rPr>
                <w:rFonts w:ascii="Verdana" w:hAnsi="Verdana"/>
              </w:rPr>
              <w:t>Birth through 3rd Grade</w:t>
            </w:r>
          </w:p>
          <w:p w14:paraId="5AB0B7D4" w14:textId="77777777" w:rsidR="005644B3" w:rsidRPr="00ED367F" w:rsidRDefault="005644B3" w:rsidP="00FB74CC">
            <w:pPr>
              <w:rPr>
                <w:rFonts w:ascii="Verdana" w:hAnsi="Verdana"/>
              </w:rPr>
            </w:pPr>
            <w:r w:rsidRPr="00ED367F">
              <w:rPr>
                <w:rFonts w:ascii="Verdana" w:hAnsi="Verdana"/>
              </w:rPr>
              <w:t>2012</w:t>
            </w:r>
            <w:r>
              <w:rPr>
                <w:rFonts w:ascii="Verdana" w:hAnsi="Verdana"/>
              </w:rPr>
              <w:t xml:space="preserve"> underscore the premise of this proposed revision, stating (page 13) “</w:t>
            </w:r>
            <w:r w:rsidRPr="00ED367F">
              <w:rPr>
                <w:rFonts w:ascii="Verdana" w:hAnsi="Verdana"/>
              </w:rPr>
              <w:t>The Guidelines’ intent is to build bridges between families, birth through age 5 caregivers/educators, K-12 educators, and other professionals serving children.</w:t>
            </w:r>
            <w:r>
              <w:rPr>
                <w:rFonts w:ascii="Verdana" w:hAnsi="Verdana"/>
              </w:rPr>
              <w:t xml:space="preserve">”  The proposal seeks to assist in implementation of this premise. </w:t>
            </w:r>
          </w:p>
          <w:p w14:paraId="488928EA" w14:textId="77777777" w:rsidR="005644B3" w:rsidRDefault="005644B3" w:rsidP="00FB74CC">
            <w:pPr>
              <w:rPr>
                <w:rFonts w:ascii="Verdana" w:hAnsi="Verdana"/>
              </w:rPr>
            </w:pPr>
          </w:p>
          <w:p w14:paraId="76CA547D" w14:textId="5D283C84" w:rsidR="005644B3" w:rsidRPr="00FB74CC" w:rsidRDefault="005644B3" w:rsidP="005644B3">
            <w:pPr>
              <w:rPr>
                <w:rFonts w:ascii="Verdana" w:hAnsi="Verdana"/>
                <w:sz w:val="24"/>
                <w:szCs w:val="24"/>
              </w:rPr>
            </w:pPr>
            <w:r>
              <w:rPr>
                <w:rFonts w:ascii="Verdana" w:hAnsi="Verdana"/>
              </w:rPr>
              <w:t xml:space="preserve">In </w:t>
            </w:r>
            <w:r w:rsidRPr="00050EDA">
              <w:rPr>
                <w:rFonts w:ascii="Verdana" w:hAnsi="Verdana"/>
              </w:rPr>
              <w:t xml:space="preserve">a series </w:t>
            </w:r>
            <w:r>
              <w:rPr>
                <w:rFonts w:ascii="Verdana" w:hAnsi="Verdana"/>
              </w:rPr>
              <w:t xml:space="preserve">of 23 meetings in 2016, 467 </w:t>
            </w:r>
            <w:r w:rsidRPr="00050EDA">
              <w:rPr>
                <w:rFonts w:ascii="Verdana" w:hAnsi="Verdana"/>
              </w:rPr>
              <w:t>stakeholders shared their feedback on a</w:t>
            </w:r>
            <w:r>
              <w:rPr>
                <w:rFonts w:ascii="Verdana" w:hAnsi="Verdana"/>
              </w:rPr>
              <w:t xml:space="preserve"> </w:t>
            </w:r>
            <w:r w:rsidRPr="00050EDA">
              <w:rPr>
                <w:rFonts w:ascii="Verdana" w:hAnsi="Verdana"/>
              </w:rPr>
              <w:t>set of prop</w:t>
            </w:r>
            <w:r>
              <w:rPr>
                <w:rFonts w:ascii="Verdana" w:hAnsi="Verdana"/>
              </w:rPr>
              <w:t>osed licensing standards drafts,</w:t>
            </w:r>
            <w:r w:rsidRPr="00050EDA">
              <w:rPr>
                <w:rFonts w:ascii="Verdana" w:hAnsi="Verdana"/>
              </w:rPr>
              <w:t xml:space="preserve"> representing all</w:t>
            </w:r>
            <w:r>
              <w:rPr>
                <w:rFonts w:ascii="Verdana" w:hAnsi="Verdana"/>
              </w:rPr>
              <w:t xml:space="preserve"> </w:t>
            </w:r>
            <w:r w:rsidRPr="00050EDA">
              <w:rPr>
                <w:rFonts w:ascii="Verdana" w:hAnsi="Verdana"/>
              </w:rPr>
              <w:t>types of early learning providers and a wide variety of racial, ethnic, cultural, refugee and immigrant,</w:t>
            </w:r>
            <w:r>
              <w:rPr>
                <w:rFonts w:ascii="Verdana" w:hAnsi="Verdana"/>
              </w:rPr>
              <w:t xml:space="preserve"> </w:t>
            </w:r>
            <w:r w:rsidRPr="00050EDA">
              <w:rPr>
                <w:rFonts w:ascii="Verdana" w:hAnsi="Verdana"/>
              </w:rPr>
              <w:t>income, and linguistic communities. The communities represented in the meetings included, but are</w:t>
            </w:r>
            <w:r>
              <w:rPr>
                <w:rFonts w:ascii="Verdana" w:hAnsi="Verdana"/>
              </w:rPr>
              <w:t xml:space="preserve"> </w:t>
            </w:r>
            <w:r w:rsidRPr="00050EDA">
              <w:rPr>
                <w:rFonts w:ascii="Verdana" w:hAnsi="Verdana"/>
              </w:rPr>
              <w:t>not limited to: Native American, African-American, Hispanic/Latino, Asian, Yakama Nation, East African,</w:t>
            </w:r>
            <w:r>
              <w:rPr>
                <w:rFonts w:ascii="Verdana" w:hAnsi="Verdana"/>
              </w:rPr>
              <w:t xml:space="preserve"> </w:t>
            </w:r>
            <w:r w:rsidRPr="00050EDA">
              <w:rPr>
                <w:rFonts w:ascii="Verdana" w:hAnsi="Verdana"/>
              </w:rPr>
              <w:t>Filipino, Spanish-speaking, Somali-speaking, Oromo-speaking and Russian-speaking.</w:t>
            </w:r>
            <w:r>
              <w:rPr>
                <w:rFonts w:ascii="Verdana" w:hAnsi="Verdana"/>
              </w:rPr>
              <w:t xml:space="preserve">  The participants had a favorable response to the approach to family engagement proposed in these regulations “</w:t>
            </w:r>
            <w:r w:rsidRPr="00050EDA">
              <w:rPr>
                <w:rFonts w:ascii="Verdana" w:hAnsi="Verdana"/>
              </w:rPr>
              <w:t>Participants reacted positively to the intent of these standards – seeki</w:t>
            </w:r>
            <w:r>
              <w:rPr>
                <w:rFonts w:ascii="Verdana" w:hAnsi="Verdana"/>
              </w:rPr>
              <w:t xml:space="preserve">ng and using insights about the </w:t>
            </w:r>
            <w:r w:rsidRPr="00050EDA">
              <w:rPr>
                <w:rFonts w:ascii="Verdana" w:hAnsi="Verdana"/>
              </w:rPr>
              <w:t>needs of children and families, as well as promoting the center as the ga</w:t>
            </w:r>
            <w:r>
              <w:rPr>
                <w:rFonts w:ascii="Verdana" w:hAnsi="Verdana"/>
              </w:rPr>
              <w:t xml:space="preserve">thering space for families that </w:t>
            </w:r>
            <w:r w:rsidRPr="00050EDA">
              <w:rPr>
                <w:rFonts w:ascii="Verdana" w:hAnsi="Verdana"/>
              </w:rPr>
              <w:t>it is.</w:t>
            </w:r>
            <w:r>
              <w:rPr>
                <w:rFonts w:ascii="Verdana" w:hAnsi="Verdana"/>
              </w:rPr>
              <w:t>”  Thrive report, page 13.</w:t>
            </w:r>
            <w:bookmarkStart w:id="0" w:name="_GoBack"/>
            <w:bookmarkEnd w:id="0"/>
          </w:p>
        </w:tc>
      </w:tr>
    </w:tbl>
    <w:p w14:paraId="7163C8EB" w14:textId="77777777" w:rsidR="00436095" w:rsidRPr="00B206C7" w:rsidRDefault="00436095"/>
    <w:sectPr w:rsidR="00436095" w:rsidRPr="00B206C7" w:rsidSect="00D27C5E">
      <w:headerReference w:type="even" r:id="rId39"/>
      <w:headerReference w:type="default" r:id="rId40"/>
      <w:footerReference w:type="even" r:id="rId41"/>
      <w:footerReference w:type="default" r:id="rId42"/>
      <w:headerReference w:type="first" r:id="rId43"/>
      <w:footerReference w:type="first" r:id="rId44"/>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2A05" w14:textId="77777777" w:rsidR="00F86B84" w:rsidRDefault="00F86B84" w:rsidP="004C1DCE">
      <w:pPr>
        <w:spacing w:after="0" w:line="240" w:lineRule="auto"/>
      </w:pPr>
      <w:r>
        <w:separator/>
      </w:r>
    </w:p>
  </w:endnote>
  <w:endnote w:type="continuationSeparator" w:id="0">
    <w:p w14:paraId="5322F352" w14:textId="77777777" w:rsidR="00F86B84" w:rsidRDefault="00F86B84"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euerTex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9BCA" w14:textId="77777777" w:rsidR="00354C72" w:rsidRDefault="0035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1CE4" w14:textId="5985AF35" w:rsidR="00552B54" w:rsidRDefault="00354C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WSA_</w:t>
    </w:r>
    <w:r w:rsidR="00B50D6E">
      <w:rPr>
        <w:rFonts w:asciiTheme="majorHAnsi" w:eastAsiaTheme="majorEastAsia" w:hAnsiTheme="majorHAnsi" w:cstheme="majorBidi"/>
      </w:rPr>
      <w:t>NRM draft</w:t>
    </w:r>
    <w:r w:rsidR="00552B54">
      <w:rPr>
        <w:rFonts w:asciiTheme="majorHAnsi" w:eastAsiaTheme="majorEastAsia" w:hAnsiTheme="majorHAnsi" w:cstheme="majorBidi"/>
      </w:rPr>
      <w:t xml:space="preserve"> Only</w:t>
    </w:r>
    <w:r w:rsidR="002F262F">
      <w:rPr>
        <w:rFonts w:asciiTheme="majorHAnsi" w:eastAsiaTheme="majorEastAsia" w:hAnsiTheme="majorHAnsi" w:cstheme="majorBidi"/>
      </w:rPr>
      <w:t xml:space="preserve"> (</w:t>
    </w:r>
    <w:r w:rsidR="00B50D6E">
      <w:rPr>
        <w:rFonts w:asciiTheme="majorHAnsi" w:eastAsiaTheme="majorEastAsia" w:hAnsiTheme="majorHAnsi" w:cstheme="majorBidi"/>
      </w:rPr>
      <w:t>Ma</w:t>
    </w:r>
    <w:r w:rsidR="007A7EAC">
      <w:rPr>
        <w:rFonts w:asciiTheme="majorHAnsi" w:eastAsiaTheme="majorEastAsia" w:hAnsiTheme="majorHAnsi" w:cstheme="majorBidi"/>
      </w:rPr>
      <w:t>y</w:t>
    </w:r>
    <w:r w:rsidR="002F262F">
      <w:rPr>
        <w:rFonts w:asciiTheme="majorHAnsi" w:eastAsiaTheme="majorEastAsia" w:hAnsiTheme="majorHAnsi" w:cstheme="majorBidi"/>
      </w:rPr>
      <w:t xml:space="preserve"> 201</w:t>
    </w:r>
    <w:r w:rsidR="00B50D6E">
      <w:rPr>
        <w:rFonts w:asciiTheme="majorHAnsi" w:eastAsiaTheme="majorEastAsia" w:hAnsiTheme="majorHAnsi" w:cstheme="majorBidi"/>
      </w:rPr>
      <w:t>7</w:t>
    </w:r>
    <w:proofErr w:type="gramStart"/>
    <w:r w:rsidR="002F262F">
      <w:rPr>
        <w:rFonts w:asciiTheme="majorHAnsi" w:eastAsiaTheme="majorEastAsia" w:hAnsiTheme="majorHAnsi" w:cstheme="majorBidi"/>
      </w:rPr>
      <w:t>)</w:t>
    </w:r>
    <w:proofErr w:type="gramEnd"/>
    <w:r w:rsidR="00552B54">
      <w:rPr>
        <w:rFonts w:asciiTheme="majorHAnsi" w:eastAsiaTheme="majorEastAsia" w:hAnsiTheme="majorHAnsi" w:cstheme="majorBidi"/>
      </w:rPr>
      <w:ptab w:relativeTo="margin" w:alignment="right" w:leader="none"/>
    </w:r>
    <w:r w:rsidR="00552B54">
      <w:rPr>
        <w:rFonts w:asciiTheme="majorHAnsi" w:eastAsiaTheme="majorEastAsia" w:hAnsiTheme="majorHAnsi" w:cstheme="majorBidi"/>
      </w:rPr>
      <w:t xml:space="preserve">Page </w:t>
    </w:r>
    <w:r w:rsidR="00552B54">
      <w:rPr>
        <w:rFonts w:eastAsiaTheme="minorEastAsia"/>
      </w:rPr>
      <w:fldChar w:fldCharType="begin"/>
    </w:r>
    <w:r w:rsidR="00552B54">
      <w:instrText xml:space="preserve"> PAGE   \* MERGEFORMAT </w:instrText>
    </w:r>
    <w:r w:rsidR="00552B54">
      <w:rPr>
        <w:rFonts w:eastAsiaTheme="minorEastAsia"/>
      </w:rPr>
      <w:fldChar w:fldCharType="separate"/>
    </w:r>
    <w:r w:rsidR="005644B3" w:rsidRPr="005644B3">
      <w:rPr>
        <w:rFonts w:asciiTheme="majorHAnsi" w:eastAsiaTheme="majorEastAsia" w:hAnsiTheme="majorHAnsi" w:cstheme="majorBidi"/>
        <w:noProof/>
      </w:rPr>
      <w:t>8</w:t>
    </w:r>
    <w:r w:rsidR="00552B54">
      <w:rPr>
        <w:rFonts w:asciiTheme="majorHAnsi" w:eastAsiaTheme="majorEastAsia" w:hAnsiTheme="majorHAnsi" w:cstheme="majorBidi"/>
        <w:noProof/>
      </w:rPr>
      <w:fldChar w:fldCharType="end"/>
    </w:r>
  </w:p>
  <w:p w14:paraId="37FA0FA0" w14:textId="77777777" w:rsidR="005A148B" w:rsidRDefault="005A14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BE02" w14:textId="77777777" w:rsidR="00354C72" w:rsidRDefault="0035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F1E3" w14:textId="77777777" w:rsidR="00F86B84" w:rsidRDefault="00F86B84" w:rsidP="004C1DCE">
      <w:pPr>
        <w:spacing w:after="0" w:line="240" w:lineRule="auto"/>
      </w:pPr>
      <w:r>
        <w:separator/>
      </w:r>
    </w:p>
  </w:footnote>
  <w:footnote w:type="continuationSeparator" w:id="0">
    <w:p w14:paraId="2C71C34C" w14:textId="77777777" w:rsidR="00F86B84" w:rsidRDefault="00F86B84"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7463" w14:textId="77777777" w:rsidR="00354C72" w:rsidRDefault="00354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23091"/>
      <w:docPartObj>
        <w:docPartGallery w:val="Watermarks"/>
        <w:docPartUnique/>
      </w:docPartObj>
    </w:sdtPr>
    <w:sdtEndPr/>
    <w:sdtContent>
      <w:p w14:paraId="33633757" w14:textId="77777777" w:rsidR="00FE470A" w:rsidRDefault="00F86B84">
        <w:pPr>
          <w:pStyle w:val="Header"/>
        </w:pPr>
        <w:r>
          <w:rPr>
            <w:noProof/>
            <w:lang w:eastAsia="zh-TW"/>
          </w:rPr>
          <w:pict w14:anchorId="56909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ayout w:type="fixed"/>
      <w:tblLook w:val="04A0" w:firstRow="1" w:lastRow="0" w:firstColumn="1" w:lastColumn="0" w:noHBand="0" w:noVBand="1"/>
    </w:tblPr>
    <w:tblGrid>
      <w:gridCol w:w="15120"/>
    </w:tblGrid>
    <w:tr w:rsidR="00FE470A" w:rsidRPr="003817CC" w14:paraId="68999C8C" w14:textId="77777777" w:rsidTr="00291BDC">
      <w:tc>
        <w:tcPr>
          <w:tcW w:w="15120" w:type="dxa"/>
          <w:shd w:val="clear" w:color="auto" w:fill="C4BC96" w:themeFill="background2" w:themeFillShade="BF"/>
        </w:tcPr>
        <w:p w14:paraId="004EC2F3" w14:textId="77777777" w:rsidR="00FE470A" w:rsidRPr="009F70D3" w:rsidRDefault="00FE470A" w:rsidP="00291BDC">
          <w:pPr>
            <w:jc w:val="center"/>
            <w:rPr>
              <w:rFonts w:ascii="Verdana" w:hAnsi="Verdana" w:cs="Mongolian Baiti"/>
              <w:b/>
              <w:sz w:val="32"/>
              <w:szCs w:val="32"/>
            </w:rPr>
          </w:pPr>
          <w:r>
            <w:rPr>
              <w:rFonts w:ascii="Verdana" w:hAnsi="Verdana" w:cs="Mongolian Baiti"/>
              <w:b/>
              <w:sz w:val="32"/>
              <w:szCs w:val="32"/>
            </w:rPr>
            <w:t>Standards Alignment - Family Engagement and Partnerships</w:t>
          </w:r>
        </w:p>
      </w:tc>
    </w:tr>
  </w:tbl>
  <w:p w14:paraId="68179082" w14:textId="77777777" w:rsidR="00FE470A" w:rsidRDefault="00FE470A">
    <w:pPr>
      <w:pStyle w:val="Header"/>
    </w:pPr>
  </w:p>
  <w:p w14:paraId="6B0FB7CC" w14:textId="77777777" w:rsidR="004C1DCE" w:rsidRDefault="004C1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E3A4" w14:textId="77777777" w:rsidR="00354C72" w:rsidRDefault="00354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DA9"/>
    <w:multiLevelType w:val="hybridMultilevel"/>
    <w:tmpl w:val="EF90E9C4"/>
    <w:lvl w:ilvl="0" w:tplc="46D84476">
      <w:start w:val="1"/>
      <w:numFmt w:val="lowerLetter"/>
      <w:lvlText w:val="(%1)"/>
      <w:lvlJc w:val="left"/>
      <w:pPr>
        <w:ind w:left="1080" w:hanging="720"/>
      </w:pPr>
      <w:rPr>
        <w:rFonts w:eastAsia="Times New Roman" w:cs="Arial"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D143D"/>
    <w:multiLevelType w:val="hybridMultilevel"/>
    <w:tmpl w:val="5582E342"/>
    <w:lvl w:ilvl="0" w:tplc="0D862872">
      <w:start w:val="1"/>
      <w:numFmt w:val="decimal"/>
      <w:lvlText w:val="(%1)"/>
      <w:lvlJc w:val="left"/>
      <w:pPr>
        <w:ind w:left="360" w:hanging="360"/>
      </w:pPr>
      <w:rPr>
        <w:rFonts w:ascii="Verdana" w:eastAsia="Times New Roman" w:hAnsi="Verdan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A1B2C"/>
    <w:multiLevelType w:val="hybridMultilevel"/>
    <w:tmpl w:val="880492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32B03D5"/>
    <w:multiLevelType w:val="hybridMultilevel"/>
    <w:tmpl w:val="5582E342"/>
    <w:lvl w:ilvl="0" w:tplc="0D862872">
      <w:start w:val="1"/>
      <w:numFmt w:val="decimal"/>
      <w:lvlText w:val="(%1)"/>
      <w:lvlJc w:val="left"/>
      <w:pPr>
        <w:ind w:left="360" w:hanging="360"/>
      </w:pPr>
      <w:rPr>
        <w:rFonts w:ascii="Verdana" w:eastAsia="Times New Roman" w:hAnsi="Verdan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663D10"/>
    <w:multiLevelType w:val="hybridMultilevel"/>
    <w:tmpl w:val="19BA7BA0"/>
    <w:lvl w:ilvl="0" w:tplc="1B7E1FEC">
      <w:start w:val="6"/>
      <w:numFmt w:val="lowerLetter"/>
      <w:lvlText w:val="(%1)"/>
      <w:lvlJc w:val="left"/>
      <w:pPr>
        <w:ind w:left="1530" w:hanging="720"/>
      </w:pPr>
      <w:rPr>
        <w:rFonts w:ascii="Verdana" w:hAnsi="Verdana"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A343BD6"/>
    <w:multiLevelType w:val="hybridMultilevel"/>
    <w:tmpl w:val="6242E67A"/>
    <w:lvl w:ilvl="0" w:tplc="E27093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58723A"/>
    <w:multiLevelType w:val="hybridMultilevel"/>
    <w:tmpl w:val="97A05478"/>
    <w:lvl w:ilvl="0" w:tplc="F55EE2A2">
      <w:start w:val="1"/>
      <w:numFmt w:val="lowerLetter"/>
      <w:lvlText w:val="(%1)"/>
      <w:lvlJc w:val="left"/>
      <w:pPr>
        <w:ind w:left="1260" w:hanging="360"/>
      </w:pPr>
      <w:rPr>
        <w:rFonts w:ascii="Verdana" w:eastAsiaTheme="minorHAnsi" w:hAnsi="Verdana" w:cstheme="minorBidi"/>
      </w:rPr>
    </w:lvl>
    <w:lvl w:ilvl="1" w:tplc="00FAD074">
      <w:start w:val="1"/>
      <w:numFmt w:val="lowerRoman"/>
      <w:lvlText w:val="(%2)"/>
      <w:lvlJc w:val="left"/>
      <w:pPr>
        <w:ind w:left="1710" w:hanging="360"/>
      </w:pPr>
      <w:rPr>
        <w:rFonts w:ascii="Verdana" w:eastAsiaTheme="minorHAnsi" w:hAnsi="Verdana" w:cstheme="minorBidi"/>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F8633D7"/>
    <w:multiLevelType w:val="hybridMultilevel"/>
    <w:tmpl w:val="9BD83A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759F19C0"/>
    <w:multiLevelType w:val="hybridMultilevel"/>
    <w:tmpl w:val="73B685CC"/>
    <w:lvl w:ilvl="0" w:tplc="EF98426C">
      <w:start w:val="1"/>
      <w:numFmt w:val="lowerLetter"/>
      <w:lvlText w:val="(%1)"/>
      <w:lvlJc w:val="left"/>
      <w:pPr>
        <w:ind w:left="1080" w:hanging="720"/>
      </w:pPr>
      <w:rPr>
        <w:rFonts w:cs="BreuerText-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B2851"/>
    <w:multiLevelType w:val="hybridMultilevel"/>
    <w:tmpl w:val="72F6AD68"/>
    <w:lvl w:ilvl="0" w:tplc="0900BFA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2"/>
  </w:num>
  <w:num w:numId="6">
    <w:abstractNumId w:val="7"/>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1129F"/>
    <w:rsid w:val="00027F64"/>
    <w:rsid w:val="00050EDA"/>
    <w:rsid w:val="0005591B"/>
    <w:rsid w:val="000567C7"/>
    <w:rsid w:val="00060E1F"/>
    <w:rsid w:val="00065419"/>
    <w:rsid w:val="00092B6A"/>
    <w:rsid w:val="00094E6C"/>
    <w:rsid w:val="000A26E9"/>
    <w:rsid w:val="001162D5"/>
    <w:rsid w:val="0015596F"/>
    <w:rsid w:val="001D493D"/>
    <w:rsid w:val="001E34A6"/>
    <w:rsid w:val="001E5359"/>
    <w:rsid w:val="002244D0"/>
    <w:rsid w:val="00233E83"/>
    <w:rsid w:val="0024042E"/>
    <w:rsid w:val="00254512"/>
    <w:rsid w:val="0028692C"/>
    <w:rsid w:val="00291BDC"/>
    <w:rsid w:val="002A3662"/>
    <w:rsid w:val="002F262F"/>
    <w:rsid w:val="002F6A55"/>
    <w:rsid w:val="00304926"/>
    <w:rsid w:val="00324E71"/>
    <w:rsid w:val="00331A6D"/>
    <w:rsid w:val="003524F4"/>
    <w:rsid w:val="00354C72"/>
    <w:rsid w:val="003817CC"/>
    <w:rsid w:val="00386B6D"/>
    <w:rsid w:val="003B10C8"/>
    <w:rsid w:val="003C7A57"/>
    <w:rsid w:val="00402EB8"/>
    <w:rsid w:val="004066D8"/>
    <w:rsid w:val="0042590E"/>
    <w:rsid w:val="00436095"/>
    <w:rsid w:val="004514E7"/>
    <w:rsid w:val="0048617A"/>
    <w:rsid w:val="004B1181"/>
    <w:rsid w:val="004B1385"/>
    <w:rsid w:val="004C1DCE"/>
    <w:rsid w:val="004C75A5"/>
    <w:rsid w:val="00500448"/>
    <w:rsid w:val="00506319"/>
    <w:rsid w:val="00532EB1"/>
    <w:rsid w:val="0053300C"/>
    <w:rsid w:val="00552B54"/>
    <w:rsid w:val="005644B3"/>
    <w:rsid w:val="005A148B"/>
    <w:rsid w:val="005A39A8"/>
    <w:rsid w:val="005C1506"/>
    <w:rsid w:val="005E307A"/>
    <w:rsid w:val="00600E08"/>
    <w:rsid w:val="00611AE8"/>
    <w:rsid w:val="00651DB5"/>
    <w:rsid w:val="006810D9"/>
    <w:rsid w:val="006922DC"/>
    <w:rsid w:val="006A437C"/>
    <w:rsid w:val="006B1717"/>
    <w:rsid w:val="006B4920"/>
    <w:rsid w:val="006B7E76"/>
    <w:rsid w:val="006D4E99"/>
    <w:rsid w:val="006D6A52"/>
    <w:rsid w:val="006E1880"/>
    <w:rsid w:val="006E4792"/>
    <w:rsid w:val="00731CB5"/>
    <w:rsid w:val="00744A13"/>
    <w:rsid w:val="00770883"/>
    <w:rsid w:val="00782609"/>
    <w:rsid w:val="00787718"/>
    <w:rsid w:val="0079752C"/>
    <w:rsid w:val="007A7EAC"/>
    <w:rsid w:val="007B4B22"/>
    <w:rsid w:val="007B7B5E"/>
    <w:rsid w:val="007C2F00"/>
    <w:rsid w:val="007C5613"/>
    <w:rsid w:val="007F1024"/>
    <w:rsid w:val="007F5789"/>
    <w:rsid w:val="008171A7"/>
    <w:rsid w:val="0084204B"/>
    <w:rsid w:val="0084766C"/>
    <w:rsid w:val="008943F1"/>
    <w:rsid w:val="008A0FB6"/>
    <w:rsid w:val="008B6A15"/>
    <w:rsid w:val="008D355E"/>
    <w:rsid w:val="008E3A65"/>
    <w:rsid w:val="009352C2"/>
    <w:rsid w:val="0093744D"/>
    <w:rsid w:val="009400D7"/>
    <w:rsid w:val="00965DC5"/>
    <w:rsid w:val="00967066"/>
    <w:rsid w:val="00975F2C"/>
    <w:rsid w:val="009817C8"/>
    <w:rsid w:val="00985D53"/>
    <w:rsid w:val="009C03EA"/>
    <w:rsid w:val="009C50B0"/>
    <w:rsid w:val="009D1E83"/>
    <w:rsid w:val="009F70D3"/>
    <w:rsid w:val="00A07047"/>
    <w:rsid w:val="00A247EF"/>
    <w:rsid w:val="00A4694C"/>
    <w:rsid w:val="00A82632"/>
    <w:rsid w:val="00A83B27"/>
    <w:rsid w:val="00AE125B"/>
    <w:rsid w:val="00AE6E63"/>
    <w:rsid w:val="00AF51BE"/>
    <w:rsid w:val="00B02DA4"/>
    <w:rsid w:val="00B206C7"/>
    <w:rsid w:val="00B419F4"/>
    <w:rsid w:val="00B50D6E"/>
    <w:rsid w:val="00B8609A"/>
    <w:rsid w:val="00B9598A"/>
    <w:rsid w:val="00BF52BB"/>
    <w:rsid w:val="00C06A83"/>
    <w:rsid w:val="00C44631"/>
    <w:rsid w:val="00C450EA"/>
    <w:rsid w:val="00C519EA"/>
    <w:rsid w:val="00C84BD4"/>
    <w:rsid w:val="00CC07B8"/>
    <w:rsid w:val="00CD3E0B"/>
    <w:rsid w:val="00CE5823"/>
    <w:rsid w:val="00D16E80"/>
    <w:rsid w:val="00D27C5E"/>
    <w:rsid w:val="00D46E55"/>
    <w:rsid w:val="00D57ED0"/>
    <w:rsid w:val="00D75305"/>
    <w:rsid w:val="00D81A68"/>
    <w:rsid w:val="00D826EC"/>
    <w:rsid w:val="00D90719"/>
    <w:rsid w:val="00D92D0D"/>
    <w:rsid w:val="00D95529"/>
    <w:rsid w:val="00DC43FB"/>
    <w:rsid w:val="00DC739B"/>
    <w:rsid w:val="00DF0FF8"/>
    <w:rsid w:val="00DF378C"/>
    <w:rsid w:val="00E40488"/>
    <w:rsid w:val="00E86348"/>
    <w:rsid w:val="00E90BD6"/>
    <w:rsid w:val="00E90E88"/>
    <w:rsid w:val="00ED367F"/>
    <w:rsid w:val="00ED3CE4"/>
    <w:rsid w:val="00F20B75"/>
    <w:rsid w:val="00F42D01"/>
    <w:rsid w:val="00F45D34"/>
    <w:rsid w:val="00F74371"/>
    <w:rsid w:val="00F86B84"/>
    <w:rsid w:val="00FB0980"/>
    <w:rsid w:val="00FB74CC"/>
    <w:rsid w:val="00FC6001"/>
    <w:rsid w:val="00FE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C95593"/>
  <w15:docId w15:val="{6CE1DBA5-CB90-4D44-9560-AE33A99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66D8"/>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28692C"/>
    <w:pPr>
      <w:ind w:left="720"/>
      <w:contextualSpacing/>
    </w:pPr>
  </w:style>
  <w:style w:type="character" w:styleId="Hyperlink">
    <w:name w:val="Hyperlink"/>
    <w:basedOn w:val="DefaultParagraphFont"/>
    <w:uiPriority w:val="99"/>
    <w:unhideWhenUsed/>
    <w:rsid w:val="0028692C"/>
    <w:rPr>
      <w:color w:val="0000FF" w:themeColor="hyperlink"/>
      <w:u w:val="single"/>
    </w:rPr>
  </w:style>
  <w:style w:type="character" w:customStyle="1" w:styleId="Heading3Char">
    <w:name w:val="Heading 3 Char"/>
    <w:basedOn w:val="DefaultParagraphFont"/>
    <w:link w:val="Heading3"/>
    <w:uiPriority w:val="9"/>
    <w:rsid w:val="004066D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5596F"/>
    <w:rPr>
      <w:sz w:val="16"/>
      <w:szCs w:val="16"/>
    </w:rPr>
  </w:style>
  <w:style w:type="paragraph" w:styleId="CommentText">
    <w:name w:val="annotation text"/>
    <w:basedOn w:val="Normal"/>
    <w:link w:val="CommentTextChar"/>
    <w:uiPriority w:val="99"/>
    <w:unhideWhenUsed/>
    <w:rsid w:val="0015596F"/>
    <w:pPr>
      <w:spacing w:line="240" w:lineRule="auto"/>
    </w:pPr>
    <w:rPr>
      <w:sz w:val="20"/>
      <w:szCs w:val="20"/>
    </w:rPr>
  </w:style>
  <w:style w:type="character" w:customStyle="1" w:styleId="CommentTextChar">
    <w:name w:val="Comment Text Char"/>
    <w:basedOn w:val="DefaultParagraphFont"/>
    <w:link w:val="CommentText"/>
    <w:uiPriority w:val="99"/>
    <w:rsid w:val="0015596F"/>
    <w:rPr>
      <w:sz w:val="20"/>
      <w:szCs w:val="20"/>
    </w:rPr>
  </w:style>
  <w:style w:type="character" w:customStyle="1" w:styleId="Mention1">
    <w:name w:val="Mention1"/>
    <w:basedOn w:val="DefaultParagraphFont"/>
    <w:uiPriority w:val="99"/>
    <w:semiHidden/>
    <w:unhideWhenUsed/>
    <w:rsid w:val="00B9598A"/>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50EDA"/>
    <w:rPr>
      <w:b/>
      <w:bCs/>
    </w:rPr>
  </w:style>
  <w:style w:type="character" w:customStyle="1" w:styleId="CommentSubjectChar">
    <w:name w:val="Comment Subject Char"/>
    <w:basedOn w:val="CommentTextChar"/>
    <w:link w:val="CommentSubject"/>
    <w:uiPriority w:val="99"/>
    <w:semiHidden/>
    <w:rsid w:val="00050EDA"/>
    <w:rPr>
      <w:b/>
      <w:bCs/>
      <w:sz w:val="20"/>
      <w:szCs w:val="20"/>
    </w:rPr>
  </w:style>
  <w:style w:type="paragraph" w:styleId="NoSpacing">
    <w:name w:val="No Spacing"/>
    <w:uiPriority w:val="1"/>
    <w:qFormat/>
    <w:rsid w:val="007F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170-296A-7125" TargetMode="External"/><Relationship Id="rId18" Type="http://schemas.openxmlformats.org/officeDocument/2006/relationships/hyperlink" Target="http://apps.leg.wa.gov/WAC/default.aspx?cite=170-296A-6475" TargetMode="External"/><Relationship Id="rId26" Type="http://schemas.openxmlformats.org/officeDocument/2006/relationships/hyperlink" Target="http://apps.leg.wa.gov/WAC/default.aspx?cite=170-296A-3325" TargetMode="External"/><Relationship Id="rId39" Type="http://schemas.openxmlformats.org/officeDocument/2006/relationships/header" Target="header1.xml"/><Relationship Id="rId21" Type="http://schemas.openxmlformats.org/officeDocument/2006/relationships/hyperlink" Target="http://apps.leg.wa.gov/WAC/default.aspx?cite=170-296A-4800" TargetMode="External"/><Relationship Id="rId34" Type="http://schemas.openxmlformats.org/officeDocument/2006/relationships/hyperlink" Target="http://apps.leg.wa.gov/WAC/default.aspx?cite=170-296A-4050"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170-296A-7650" TargetMode="External"/><Relationship Id="rId29" Type="http://schemas.openxmlformats.org/officeDocument/2006/relationships/hyperlink" Target="http://apps.leg.wa.gov/WAC/default.aspx?cite=170-296A-3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70-296A-6050" TargetMode="External"/><Relationship Id="rId24" Type="http://schemas.openxmlformats.org/officeDocument/2006/relationships/hyperlink" Target="http://apps.leg.wa.gov/WAC/default.aspx?cite=170-296A-3600" TargetMode="External"/><Relationship Id="rId32" Type="http://schemas.openxmlformats.org/officeDocument/2006/relationships/hyperlink" Target="http://apps.leg.wa.gov/WAC/default.aspx?cite=170-296A-3925" TargetMode="External"/><Relationship Id="rId37" Type="http://schemas.openxmlformats.org/officeDocument/2006/relationships/hyperlink" Target="http://apps.leg.wa.gov/WAC/default.aspx?cite=170-296A-6850"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leg.wa.gov/WAC/default.aspx?cite=170-296A-7500" TargetMode="External"/><Relationship Id="rId23" Type="http://schemas.openxmlformats.org/officeDocument/2006/relationships/hyperlink" Target="http://apps.leg.wa.gov/WAC/default.aspx?cite=170-296A-3575" TargetMode="External"/><Relationship Id="rId28" Type="http://schemas.openxmlformats.org/officeDocument/2006/relationships/hyperlink" Target="http://apps.leg.wa.gov/WAC/default.aspx?cite=170-296A-3250" TargetMode="External"/><Relationship Id="rId36" Type="http://schemas.openxmlformats.org/officeDocument/2006/relationships/hyperlink" Target="http://apps.leg.wa.gov/WAC/default.aspx?cite=170-296A-4725" TargetMode="External"/><Relationship Id="rId10" Type="http://schemas.openxmlformats.org/officeDocument/2006/relationships/hyperlink" Target="http://apps.leg.wa.gov/WAC/default.aspx?cite=170-296A-2025" TargetMode="External"/><Relationship Id="rId19" Type="http://schemas.openxmlformats.org/officeDocument/2006/relationships/hyperlink" Target="http://apps.leg.wa.gov/WAC/default.aspx?cite=170-296A-5600" TargetMode="External"/><Relationship Id="rId31" Type="http://schemas.openxmlformats.org/officeDocument/2006/relationships/hyperlink" Target="http://apps.leg.wa.gov/WAC/default.aspx?cite=170-296A-385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s.leg.wa.gov/WAC/default.aspx?cite=170-296A-0050" TargetMode="External"/><Relationship Id="rId14" Type="http://schemas.openxmlformats.org/officeDocument/2006/relationships/hyperlink" Target="http://apps.leg.wa.gov/WAC/default.aspx?cite=170-296A-7200" TargetMode="External"/><Relationship Id="rId22" Type="http://schemas.openxmlformats.org/officeDocument/2006/relationships/hyperlink" Target="http://apps.leg.wa.gov/WAC/default.aspx?cite=170-296A-2825" TargetMode="External"/><Relationship Id="rId27" Type="http://schemas.openxmlformats.org/officeDocument/2006/relationships/hyperlink" Target="http://apps.leg.wa.gov/WAC/default.aspx?cite=170-296A-3210" TargetMode="External"/><Relationship Id="rId30" Type="http://schemas.openxmlformats.org/officeDocument/2006/relationships/hyperlink" Target="http://apps.leg.wa.gov/WAC/default.aspx?cite=170-296A-3650" TargetMode="External"/><Relationship Id="rId35" Type="http://schemas.openxmlformats.org/officeDocument/2006/relationships/hyperlink" Target="http://apps.leg.wa.gov/WAC/default.aspx?cite=170-296A-4025" TargetMode="External"/><Relationship Id="rId43" Type="http://schemas.openxmlformats.org/officeDocument/2006/relationships/header" Target="header3.xml"/><Relationship Id="rId8" Type="http://schemas.openxmlformats.org/officeDocument/2006/relationships/hyperlink" Target="http://apps.leg.wa.gov/WAC/default.aspx?cite=170-296A-6550" TargetMode="External"/><Relationship Id="rId3" Type="http://schemas.openxmlformats.org/officeDocument/2006/relationships/styles" Target="styles.xml"/><Relationship Id="rId12" Type="http://schemas.openxmlformats.org/officeDocument/2006/relationships/hyperlink" Target="http://apps.leg.wa.gov/WAC/default.aspx?cite=170-296A-6275" TargetMode="External"/><Relationship Id="rId17" Type="http://schemas.openxmlformats.org/officeDocument/2006/relationships/hyperlink" Target="http://apps.leg.wa.gov/WAC/default.aspx?cite=170-296A-2450" TargetMode="External"/><Relationship Id="rId25" Type="http://schemas.openxmlformats.org/officeDocument/2006/relationships/hyperlink" Target="http://apps.leg.wa.gov/WAC/default.aspx?cite=170-296A-2275" TargetMode="External"/><Relationship Id="rId33" Type="http://schemas.openxmlformats.org/officeDocument/2006/relationships/hyperlink" Target="http://apps.leg.wa.gov/WAC/default.aspx?cite=170-296A-0010" TargetMode="External"/><Relationship Id="rId38" Type="http://schemas.openxmlformats.org/officeDocument/2006/relationships/hyperlink" Target="https://www.gpo.gov/fdsys/pkg/PLAW-113publ186/pdf/PLAW-113publ186.pdf" TargetMode="External"/><Relationship Id="rId46" Type="http://schemas.openxmlformats.org/officeDocument/2006/relationships/theme" Target="theme/theme1.xml"/><Relationship Id="rId20" Type="http://schemas.openxmlformats.org/officeDocument/2006/relationships/hyperlink" Target="http://apps.leg.wa.gov/WAC/default.aspx?cite=170-296A-5775"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8677-06D0-46F5-BCD8-A5563CEC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6</cp:revision>
  <cp:lastPrinted>2017-05-12T22:12:00Z</cp:lastPrinted>
  <dcterms:created xsi:type="dcterms:W3CDTF">2017-05-30T17:07:00Z</dcterms:created>
  <dcterms:modified xsi:type="dcterms:W3CDTF">2017-05-30T17:22:00Z</dcterms:modified>
</cp:coreProperties>
</file>